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4EDF" w14:textId="13C2D339" w:rsidR="00FC70C6" w:rsidRPr="00D12714" w:rsidRDefault="007B2022" w:rsidP="00A024B5">
      <w:pPr>
        <w:pStyle w:val="Title"/>
      </w:pPr>
      <w:r w:rsidRPr="00D12714">
        <w:t xml:space="preserve">PS21-2103 </w:t>
      </w:r>
      <w:r w:rsidR="00A41406" w:rsidRPr="00D12714">
        <w:t xml:space="preserve">Component </w:t>
      </w:r>
      <w:r w:rsidR="005C1775">
        <w:t>1</w:t>
      </w:r>
      <w:r w:rsidR="00D12714">
        <w:t xml:space="preserve"> </w:t>
      </w:r>
      <w:r w:rsidRPr="00D12714">
        <w:t xml:space="preserve">Combined </w:t>
      </w:r>
      <w:r w:rsidRPr="00A024B5">
        <w:t>Evaluation</w:t>
      </w:r>
      <w:r w:rsidRPr="00D12714">
        <w:t xml:space="preserve"> and Work Plan</w:t>
      </w:r>
      <w:r w:rsidR="00BF6147" w:rsidRPr="00D12714">
        <w:t xml:space="preserve"> Template</w:t>
      </w:r>
    </w:p>
    <w:p w14:paraId="53677E37" w14:textId="77777777" w:rsidR="00887574" w:rsidRDefault="00023EC5" w:rsidP="00887574">
      <w:pPr>
        <w:spacing w:after="0" w:line="240" w:lineRule="auto"/>
        <w:rPr>
          <w:color w:val="385623" w:themeColor="accent6" w:themeShade="80"/>
        </w:rPr>
      </w:pPr>
      <w:r w:rsidRPr="00887574">
        <w:rPr>
          <w:color w:val="385623" w:themeColor="accent6" w:themeShade="80"/>
        </w:rPr>
        <w:t>This template is provided as an aid to applicants in preparing the evaluation and work plan for PS21-2103</w:t>
      </w:r>
      <w:r w:rsidR="5305E78B" w:rsidRPr="00887574">
        <w:rPr>
          <w:color w:val="385623" w:themeColor="accent6" w:themeShade="80"/>
        </w:rPr>
        <w:t>;</w:t>
      </w:r>
      <w:r w:rsidRPr="00887574">
        <w:rPr>
          <w:color w:val="385623" w:themeColor="accent6" w:themeShade="80"/>
        </w:rPr>
        <w:t xml:space="preserve"> however, its use is optional.</w:t>
      </w:r>
      <w:r w:rsidR="00E74FFD" w:rsidRPr="00887574">
        <w:rPr>
          <w:color w:val="385623" w:themeColor="accent6" w:themeShade="80"/>
        </w:rPr>
        <w:t xml:space="preserve"> </w:t>
      </w:r>
    </w:p>
    <w:p w14:paraId="47ACEBF8" w14:textId="49BC2F18" w:rsidR="005C1775" w:rsidRPr="00887574" w:rsidRDefault="00FC43B6" w:rsidP="00887574">
      <w:pPr>
        <w:pStyle w:val="ListParagraph"/>
        <w:numPr>
          <w:ilvl w:val="0"/>
          <w:numId w:val="5"/>
        </w:numPr>
        <w:spacing w:after="0" w:line="240" w:lineRule="auto"/>
        <w:rPr>
          <w:color w:val="385623" w:themeColor="accent6" w:themeShade="80"/>
        </w:rPr>
      </w:pPr>
      <w:r w:rsidRPr="00887574">
        <w:rPr>
          <w:color w:val="385623" w:themeColor="accent6" w:themeShade="80"/>
        </w:rPr>
        <w:t>Space is provided for brief narrative descriptions of the 5-year plan and Year 1 plan for each strategy</w:t>
      </w:r>
      <w:r w:rsidR="00221BFB" w:rsidRPr="00887574">
        <w:rPr>
          <w:color w:val="385623" w:themeColor="accent6" w:themeShade="80"/>
        </w:rPr>
        <w:t>, with a suggested limit of 100 words each</w:t>
      </w:r>
      <w:r w:rsidRPr="00887574">
        <w:rPr>
          <w:color w:val="385623" w:themeColor="accent6" w:themeShade="80"/>
        </w:rPr>
        <w:t>.</w:t>
      </w:r>
      <w:r w:rsidR="009D7AE2" w:rsidRPr="00887574">
        <w:rPr>
          <w:color w:val="385623" w:themeColor="accent6" w:themeShade="80"/>
        </w:rPr>
        <w:t xml:space="preserve"> </w:t>
      </w:r>
    </w:p>
    <w:p w14:paraId="302224B4" w14:textId="0ABFBE72" w:rsidR="005C1775" w:rsidRPr="005C1775" w:rsidRDefault="000E3634" w:rsidP="005C1775">
      <w:pPr>
        <w:pStyle w:val="ListParagraph"/>
        <w:numPr>
          <w:ilvl w:val="0"/>
          <w:numId w:val="5"/>
        </w:numPr>
        <w:spacing w:after="0" w:line="240" w:lineRule="auto"/>
        <w:rPr>
          <w:color w:val="385623" w:themeColor="accent6" w:themeShade="80"/>
        </w:rPr>
      </w:pPr>
      <w:r w:rsidRPr="005C1775">
        <w:rPr>
          <w:color w:val="385623" w:themeColor="accent6" w:themeShade="80"/>
        </w:rPr>
        <w:t xml:space="preserve">The title and sections headers </w:t>
      </w:r>
      <w:r w:rsidR="005965B2">
        <w:rPr>
          <w:color w:val="385623" w:themeColor="accent6" w:themeShade="80"/>
        </w:rPr>
        <w:t xml:space="preserve">in this file </w:t>
      </w:r>
      <w:r w:rsidRPr="005C1775">
        <w:rPr>
          <w:color w:val="385623" w:themeColor="accent6" w:themeShade="80"/>
        </w:rPr>
        <w:t>are formatted to support accessibility</w:t>
      </w:r>
      <w:r w:rsidR="00892F05" w:rsidRPr="005C1775">
        <w:rPr>
          <w:color w:val="385623" w:themeColor="accent6" w:themeShade="80"/>
        </w:rPr>
        <w:t xml:space="preserve"> of the document online. </w:t>
      </w:r>
    </w:p>
    <w:p w14:paraId="38C98794" w14:textId="59321577" w:rsidR="005C1775" w:rsidRPr="005C1775" w:rsidRDefault="00892F05" w:rsidP="005C1775">
      <w:pPr>
        <w:pStyle w:val="ListParagraph"/>
        <w:numPr>
          <w:ilvl w:val="0"/>
          <w:numId w:val="5"/>
        </w:numPr>
        <w:spacing w:after="0" w:line="240" w:lineRule="auto"/>
        <w:rPr>
          <w:color w:val="385623" w:themeColor="accent6" w:themeShade="80"/>
        </w:rPr>
      </w:pPr>
      <w:r w:rsidRPr="005C1775">
        <w:rPr>
          <w:color w:val="385623" w:themeColor="accent6" w:themeShade="80"/>
        </w:rPr>
        <w:t xml:space="preserve">Applicants may change all text to </w:t>
      </w:r>
      <w:r w:rsidR="00BA4F7E">
        <w:rPr>
          <w:color w:val="385623" w:themeColor="accent6" w:themeShade="80"/>
        </w:rPr>
        <w:t xml:space="preserve">any </w:t>
      </w:r>
      <w:r w:rsidRPr="005C1775">
        <w:rPr>
          <w:color w:val="385623" w:themeColor="accent6" w:themeShade="80"/>
        </w:rPr>
        <w:t xml:space="preserve">12-point font </w:t>
      </w:r>
      <w:r w:rsidR="00122BF1" w:rsidRPr="005C1775">
        <w:rPr>
          <w:color w:val="385623" w:themeColor="accent6" w:themeShade="80"/>
        </w:rPr>
        <w:t xml:space="preserve">single spaced </w:t>
      </w:r>
      <w:r w:rsidRPr="005C1775">
        <w:rPr>
          <w:color w:val="385623" w:themeColor="accent6" w:themeShade="80"/>
        </w:rPr>
        <w:t xml:space="preserve">to meet requirements </w:t>
      </w:r>
      <w:r w:rsidR="00165B31" w:rsidRPr="005C1775">
        <w:rPr>
          <w:color w:val="385623" w:themeColor="accent6" w:themeShade="80"/>
        </w:rPr>
        <w:t xml:space="preserve">stated in the NOFO. </w:t>
      </w:r>
    </w:p>
    <w:p w14:paraId="676E1F47" w14:textId="28E6C969" w:rsidR="007B2022" w:rsidRPr="005C1775" w:rsidRDefault="004059F0" w:rsidP="005C1775">
      <w:pPr>
        <w:pStyle w:val="ListParagraph"/>
        <w:numPr>
          <w:ilvl w:val="0"/>
          <w:numId w:val="5"/>
        </w:numPr>
        <w:spacing w:after="0" w:line="240" w:lineRule="auto"/>
        <w:rPr>
          <w:color w:val="385623" w:themeColor="accent6" w:themeShade="80"/>
        </w:rPr>
      </w:pPr>
      <w:r w:rsidRPr="005C1775">
        <w:rPr>
          <w:color w:val="385623" w:themeColor="accent6" w:themeShade="80"/>
        </w:rPr>
        <w:t>Text in green</w:t>
      </w:r>
      <w:r w:rsidR="00165B31" w:rsidRPr="005C1775">
        <w:rPr>
          <w:color w:val="385623" w:themeColor="accent6" w:themeShade="80"/>
        </w:rPr>
        <w:t xml:space="preserve"> can be deleted to reduce the length.</w:t>
      </w:r>
    </w:p>
    <w:p w14:paraId="633365E9" w14:textId="77777777" w:rsidR="005C1775" w:rsidRPr="004059F0" w:rsidRDefault="005C1775" w:rsidP="00122BF1">
      <w:pPr>
        <w:spacing w:after="0" w:line="240" w:lineRule="auto"/>
        <w:rPr>
          <w:color w:val="385623" w:themeColor="accent6" w:themeShade="80"/>
        </w:rPr>
      </w:pPr>
    </w:p>
    <w:p w14:paraId="0AF5BA81" w14:textId="15F031E7" w:rsidR="00DF03E1" w:rsidRPr="004059F0" w:rsidRDefault="00023EC5" w:rsidP="00122BF1">
      <w:pPr>
        <w:spacing w:after="0" w:line="240" w:lineRule="auto"/>
        <w:rPr>
          <w:color w:val="385623" w:themeColor="accent6" w:themeShade="80"/>
        </w:rPr>
      </w:pPr>
      <w:r w:rsidRPr="004059F0">
        <w:rPr>
          <w:color w:val="385623" w:themeColor="accent6" w:themeShade="80"/>
        </w:rPr>
        <w:t>Th</w:t>
      </w:r>
      <w:r w:rsidR="00A73678" w:rsidRPr="004059F0">
        <w:rPr>
          <w:color w:val="385623" w:themeColor="accent6" w:themeShade="80"/>
        </w:rPr>
        <w:t>e tables in this</w:t>
      </w:r>
      <w:r w:rsidRPr="004059F0">
        <w:rPr>
          <w:color w:val="385623" w:themeColor="accent6" w:themeShade="80"/>
        </w:rPr>
        <w:t xml:space="preserve"> template include only the </w:t>
      </w:r>
      <w:r w:rsidR="4E0D4D4D" w:rsidRPr="004059F0">
        <w:rPr>
          <w:color w:val="385623" w:themeColor="accent6" w:themeShade="80"/>
        </w:rPr>
        <w:t xml:space="preserve">required </w:t>
      </w:r>
      <w:r w:rsidR="00583F8A" w:rsidRPr="004059F0">
        <w:rPr>
          <w:color w:val="385623" w:themeColor="accent6" w:themeShade="80"/>
        </w:rPr>
        <w:t>short-term</w:t>
      </w:r>
      <w:r w:rsidRPr="004059F0">
        <w:rPr>
          <w:color w:val="385623" w:themeColor="accent6" w:themeShade="80"/>
        </w:rPr>
        <w:t xml:space="preserve"> </w:t>
      </w:r>
      <w:r w:rsidR="00C1278E" w:rsidRPr="004059F0">
        <w:rPr>
          <w:color w:val="385623" w:themeColor="accent6" w:themeShade="80"/>
        </w:rPr>
        <w:t xml:space="preserve">activities and </w:t>
      </w:r>
      <w:r w:rsidR="00583F8A" w:rsidRPr="004059F0">
        <w:rPr>
          <w:color w:val="385623" w:themeColor="accent6" w:themeShade="80"/>
        </w:rPr>
        <w:t xml:space="preserve">expected </w:t>
      </w:r>
      <w:r w:rsidR="00202C2A" w:rsidRPr="004059F0">
        <w:rPr>
          <w:color w:val="385623" w:themeColor="accent6" w:themeShade="80"/>
        </w:rPr>
        <w:t xml:space="preserve">(bolded) </w:t>
      </w:r>
      <w:r w:rsidR="00CD063E" w:rsidRPr="004059F0">
        <w:rPr>
          <w:color w:val="385623" w:themeColor="accent6" w:themeShade="80"/>
        </w:rPr>
        <w:t>outcome</w:t>
      </w:r>
      <w:r w:rsidR="00202C2A" w:rsidRPr="004059F0">
        <w:rPr>
          <w:color w:val="385623" w:themeColor="accent6" w:themeShade="80"/>
        </w:rPr>
        <w:t xml:space="preserve">s from the PS21-2103 Logic Model. </w:t>
      </w:r>
    </w:p>
    <w:p w14:paraId="7D4C9629" w14:textId="77777777" w:rsidR="008E39F9" w:rsidRPr="004059F0" w:rsidRDefault="00DF03E1" w:rsidP="00122BF1">
      <w:pPr>
        <w:pStyle w:val="ListParagraph"/>
        <w:numPr>
          <w:ilvl w:val="0"/>
          <w:numId w:val="4"/>
        </w:numPr>
        <w:spacing w:after="0" w:line="240" w:lineRule="auto"/>
        <w:rPr>
          <w:color w:val="385623" w:themeColor="accent6" w:themeShade="80"/>
        </w:rPr>
      </w:pPr>
      <w:r w:rsidRPr="004059F0">
        <w:rPr>
          <w:color w:val="385623" w:themeColor="accent6" w:themeShade="80"/>
        </w:rPr>
        <w:t xml:space="preserve">Short-term </w:t>
      </w:r>
      <w:r w:rsidR="008E39F9" w:rsidRPr="004059F0">
        <w:rPr>
          <w:color w:val="385623" w:themeColor="accent6" w:themeShade="80"/>
        </w:rPr>
        <w:t>activities listed in this template are required and should not be edited.</w:t>
      </w:r>
    </w:p>
    <w:p w14:paraId="176BA963" w14:textId="7E789230" w:rsidR="00DF03E1" w:rsidRPr="004059F0" w:rsidRDefault="008E39F9" w:rsidP="00122BF1">
      <w:pPr>
        <w:pStyle w:val="ListParagraph"/>
        <w:numPr>
          <w:ilvl w:val="0"/>
          <w:numId w:val="4"/>
        </w:numPr>
        <w:spacing w:after="0" w:line="240" w:lineRule="auto"/>
        <w:rPr>
          <w:color w:val="385623" w:themeColor="accent6" w:themeShade="80"/>
        </w:rPr>
      </w:pPr>
      <w:r w:rsidRPr="004059F0">
        <w:rPr>
          <w:color w:val="385623" w:themeColor="accent6" w:themeShade="80"/>
        </w:rPr>
        <w:t xml:space="preserve">Short term </w:t>
      </w:r>
      <w:r w:rsidR="00DF03E1" w:rsidRPr="004059F0">
        <w:rPr>
          <w:color w:val="385623" w:themeColor="accent6" w:themeShade="80"/>
        </w:rPr>
        <w:t>outcomes may be achieved during Years 1</w:t>
      </w:r>
      <w:r w:rsidR="002003B0" w:rsidRPr="004059F0">
        <w:rPr>
          <w:rFonts w:cstheme="minorHAnsi"/>
          <w:color w:val="385623" w:themeColor="accent6" w:themeShade="80"/>
        </w:rPr>
        <w:t>–</w:t>
      </w:r>
      <w:r w:rsidR="00DF03E1" w:rsidRPr="004059F0">
        <w:rPr>
          <w:color w:val="385623" w:themeColor="accent6" w:themeShade="80"/>
        </w:rPr>
        <w:t xml:space="preserve">3 of funding; applicants should </w:t>
      </w:r>
      <w:r w:rsidRPr="004059F0">
        <w:rPr>
          <w:color w:val="385623" w:themeColor="accent6" w:themeShade="80"/>
        </w:rPr>
        <w:t xml:space="preserve">review and edit these outcomes as needed to </w:t>
      </w:r>
      <w:r w:rsidR="00DF03E1" w:rsidRPr="004059F0">
        <w:rPr>
          <w:color w:val="385623" w:themeColor="accent6" w:themeShade="80"/>
        </w:rPr>
        <w:t>indicate what outcomes are expected to be achieved in Year 1</w:t>
      </w:r>
      <w:r w:rsidRPr="004059F0">
        <w:rPr>
          <w:color w:val="385623" w:themeColor="accent6" w:themeShade="80"/>
        </w:rPr>
        <w:t>.</w:t>
      </w:r>
    </w:p>
    <w:p w14:paraId="7FF1C702" w14:textId="449CB17F" w:rsidR="00DF03E1" w:rsidRPr="004059F0" w:rsidRDefault="00202C2A" w:rsidP="00122BF1">
      <w:pPr>
        <w:pStyle w:val="ListParagraph"/>
        <w:numPr>
          <w:ilvl w:val="0"/>
          <w:numId w:val="4"/>
        </w:numPr>
        <w:spacing w:after="0" w:line="240" w:lineRule="auto"/>
        <w:rPr>
          <w:color w:val="385623" w:themeColor="accent6" w:themeShade="80"/>
        </w:rPr>
      </w:pPr>
      <w:r w:rsidRPr="004059F0">
        <w:rPr>
          <w:color w:val="385623" w:themeColor="accent6" w:themeShade="80"/>
        </w:rPr>
        <w:t xml:space="preserve">Applicants planning to address </w:t>
      </w:r>
      <w:r w:rsidR="002579E8" w:rsidRPr="004059F0">
        <w:rPr>
          <w:color w:val="385623" w:themeColor="accent6" w:themeShade="80"/>
        </w:rPr>
        <w:t xml:space="preserve">the </w:t>
      </w:r>
      <w:r w:rsidR="002003B0" w:rsidRPr="004059F0">
        <w:rPr>
          <w:color w:val="385623" w:themeColor="accent6" w:themeShade="80"/>
        </w:rPr>
        <w:t>i</w:t>
      </w:r>
      <w:r w:rsidR="00583F8A" w:rsidRPr="004059F0">
        <w:rPr>
          <w:color w:val="385623" w:themeColor="accent6" w:themeShade="80"/>
        </w:rPr>
        <w:t xml:space="preserve">ntermediate </w:t>
      </w:r>
      <w:r w:rsidR="00051702" w:rsidRPr="004059F0">
        <w:rPr>
          <w:color w:val="385623" w:themeColor="accent6" w:themeShade="80"/>
        </w:rPr>
        <w:t xml:space="preserve">expected (bolded) or </w:t>
      </w:r>
      <w:r w:rsidR="002579E8" w:rsidRPr="004059F0">
        <w:rPr>
          <w:color w:val="385623" w:themeColor="accent6" w:themeShade="80"/>
        </w:rPr>
        <w:t xml:space="preserve">remaining (non-bolded) </w:t>
      </w:r>
      <w:r w:rsidR="00051702" w:rsidRPr="004059F0">
        <w:rPr>
          <w:color w:val="385623" w:themeColor="accent6" w:themeShade="80"/>
        </w:rPr>
        <w:t xml:space="preserve">short- or intermediate-term </w:t>
      </w:r>
      <w:r w:rsidR="00C1278E" w:rsidRPr="004059F0">
        <w:rPr>
          <w:color w:val="385623" w:themeColor="accent6" w:themeShade="80"/>
        </w:rPr>
        <w:t>activities/</w:t>
      </w:r>
      <w:r w:rsidR="00CD063E" w:rsidRPr="004059F0">
        <w:rPr>
          <w:color w:val="385623" w:themeColor="accent6" w:themeShade="80"/>
        </w:rPr>
        <w:t>outcome</w:t>
      </w:r>
      <w:r w:rsidR="002579E8" w:rsidRPr="004059F0">
        <w:rPr>
          <w:color w:val="385623" w:themeColor="accent6" w:themeShade="80"/>
        </w:rPr>
        <w:t xml:space="preserve">s </w:t>
      </w:r>
      <w:r w:rsidR="00583F8A" w:rsidRPr="004059F0">
        <w:rPr>
          <w:color w:val="385623" w:themeColor="accent6" w:themeShade="80"/>
        </w:rPr>
        <w:t xml:space="preserve">in Year 1 </w:t>
      </w:r>
      <w:r w:rsidR="002579E8" w:rsidRPr="004059F0">
        <w:rPr>
          <w:color w:val="385623" w:themeColor="accent6" w:themeShade="80"/>
        </w:rPr>
        <w:t xml:space="preserve">may </w:t>
      </w:r>
      <w:r w:rsidR="00E103D1" w:rsidRPr="004059F0">
        <w:rPr>
          <w:color w:val="385623" w:themeColor="accent6" w:themeShade="80"/>
        </w:rPr>
        <w:t>copy</w:t>
      </w:r>
      <w:r w:rsidR="002579E8" w:rsidRPr="004059F0">
        <w:rPr>
          <w:color w:val="385623" w:themeColor="accent6" w:themeShade="80"/>
        </w:rPr>
        <w:t xml:space="preserve"> sections</w:t>
      </w:r>
      <w:r w:rsidR="00E103D1" w:rsidRPr="004059F0">
        <w:rPr>
          <w:color w:val="385623" w:themeColor="accent6" w:themeShade="80"/>
        </w:rPr>
        <w:t xml:space="preserve"> of the template and edit</w:t>
      </w:r>
      <w:r w:rsidR="00CD063E" w:rsidRPr="004059F0">
        <w:rPr>
          <w:color w:val="385623" w:themeColor="accent6" w:themeShade="80"/>
        </w:rPr>
        <w:t xml:space="preserve"> them </w:t>
      </w:r>
      <w:r w:rsidR="008B0C39" w:rsidRPr="004059F0">
        <w:rPr>
          <w:color w:val="385623" w:themeColor="accent6" w:themeShade="80"/>
        </w:rPr>
        <w:t>accordingly</w:t>
      </w:r>
      <w:r w:rsidR="002579E8" w:rsidRPr="004059F0">
        <w:rPr>
          <w:color w:val="385623" w:themeColor="accent6" w:themeShade="80"/>
        </w:rPr>
        <w:t>.</w:t>
      </w:r>
      <w:r w:rsidR="2F2D152B" w:rsidRPr="004059F0">
        <w:rPr>
          <w:color w:val="385623" w:themeColor="accent6" w:themeShade="80"/>
        </w:rPr>
        <w:t xml:space="preserve"> </w:t>
      </w:r>
    </w:p>
    <w:p w14:paraId="22E4FE34" w14:textId="10008B6E" w:rsidR="00023EC5" w:rsidRPr="004059F0" w:rsidRDefault="2F2D152B" w:rsidP="00122BF1">
      <w:pPr>
        <w:pStyle w:val="ListParagraph"/>
        <w:numPr>
          <w:ilvl w:val="0"/>
          <w:numId w:val="4"/>
        </w:numPr>
        <w:spacing w:after="0" w:line="240" w:lineRule="auto"/>
        <w:rPr>
          <w:color w:val="385623" w:themeColor="accent6" w:themeShade="80"/>
        </w:rPr>
      </w:pPr>
      <w:r w:rsidRPr="004059F0">
        <w:rPr>
          <w:color w:val="385623" w:themeColor="accent6" w:themeShade="80"/>
        </w:rPr>
        <w:t>Example process measures</w:t>
      </w:r>
      <w:r w:rsidR="025BA08B" w:rsidRPr="004059F0">
        <w:rPr>
          <w:color w:val="385623" w:themeColor="accent6" w:themeShade="80"/>
        </w:rPr>
        <w:t xml:space="preserve"> (example: not required)</w:t>
      </w:r>
      <w:r w:rsidRPr="004059F0">
        <w:rPr>
          <w:color w:val="385623" w:themeColor="accent6" w:themeShade="80"/>
        </w:rPr>
        <w:t xml:space="preserve"> are </w:t>
      </w:r>
      <w:r w:rsidR="0DFDE424" w:rsidRPr="004059F0">
        <w:rPr>
          <w:color w:val="385623" w:themeColor="accent6" w:themeShade="80"/>
        </w:rPr>
        <w:t>shown</w:t>
      </w:r>
      <w:r w:rsidRPr="004059F0">
        <w:rPr>
          <w:color w:val="385623" w:themeColor="accent6" w:themeShade="80"/>
        </w:rPr>
        <w:t xml:space="preserve"> for required short-term activities</w:t>
      </w:r>
      <w:r w:rsidR="47E24125" w:rsidRPr="004059F0">
        <w:rPr>
          <w:color w:val="385623" w:themeColor="accent6" w:themeShade="80"/>
        </w:rPr>
        <w:t xml:space="preserve"> with</w:t>
      </w:r>
      <w:r w:rsidR="163CA692" w:rsidRPr="004059F0">
        <w:rPr>
          <w:color w:val="385623" w:themeColor="accent6" w:themeShade="80"/>
        </w:rPr>
        <w:t xml:space="preserve"> no</w:t>
      </w:r>
      <w:r w:rsidR="47E24125" w:rsidRPr="004059F0">
        <w:rPr>
          <w:color w:val="385623" w:themeColor="accent6" w:themeShade="80"/>
        </w:rPr>
        <w:t xml:space="preserve"> required process measure in the evaluation and performance section of the NOFO.</w:t>
      </w:r>
    </w:p>
    <w:p w14:paraId="634B1C9D" w14:textId="77777777" w:rsidR="00887574" w:rsidRDefault="00887574" w:rsidP="00122BF1">
      <w:pPr>
        <w:pStyle w:val="Heading1"/>
        <w:spacing w:before="0"/>
      </w:pPr>
    </w:p>
    <w:p w14:paraId="28A8AB69" w14:textId="344201C8" w:rsidR="002579E8" w:rsidRDefault="002579E8" w:rsidP="00122BF1">
      <w:pPr>
        <w:pStyle w:val="Heading1"/>
        <w:spacing w:before="0"/>
      </w:pPr>
      <w:r>
        <w:t>Component 1: Core Viral Hepatitis Outbreak Response and Surveillance Activities</w:t>
      </w:r>
    </w:p>
    <w:p w14:paraId="6C41CC9D" w14:textId="4E8A96DD" w:rsidR="002579E8" w:rsidRDefault="005F7FFB" w:rsidP="00122BF1">
      <w:pPr>
        <w:pStyle w:val="Heading2"/>
        <w:spacing w:before="0"/>
      </w:pPr>
      <w:r>
        <w:t xml:space="preserve">Strategy 1.1: </w:t>
      </w:r>
      <w:r w:rsidRPr="004A1882">
        <w:t>Develop</w:t>
      </w:r>
      <w:r>
        <w:t>, implement</w:t>
      </w:r>
      <w:r w:rsidR="002003B0">
        <w:t>,</w:t>
      </w:r>
      <w:r>
        <w:t xml:space="preserve"> and maintain plan to rapidly detect and respond to </w:t>
      </w:r>
      <w:r w:rsidR="00E74FFD">
        <w:t xml:space="preserve">outbreaks of </w:t>
      </w:r>
      <w:r>
        <w:t>hepatitis A, acute hepatitis B, and acute hepatitis C</w:t>
      </w:r>
    </w:p>
    <w:p w14:paraId="1DCC06C2" w14:textId="5ADBBB16" w:rsidR="00DD2E01" w:rsidRDefault="00DD2E01" w:rsidP="00122BF1">
      <w:pPr>
        <w:spacing w:after="0" w:line="240" w:lineRule="auto"/>
      </w:pPr>
    </w:p>
    <w:tbl>
      <w:tblPr>
        <w:tblStyle w:val="TableGrid"/>
        <w:tblW w:w="0" w:type="auto"/>
        <w:tblLook w:val="04A0" w:firstRow="1" w:lastRow="0" w:firstColumn="1" w:lastColumn="0" w:noHBand="0" w:noVBand="1"/>
        <w:tblCaption w:val="Strategy 1.1 Overall 5-year plan "/>
        <w:tblDescription w:val="Strategy 1.1 Overall 5-year plan  Develop, implement, and maintain plan to rapidly detect and respond to outbreaks of hepatitis A, acute hepatitis B, and acute hepatitis C"/>
      </w:tblPr>
      <w:tblGrid>
        <w:gridCol w:w="13670"/>
      </w:tblGrid>
      <w:tr w:rsidR="00E0461C" w14:paraId="69F387CE" w14:textId="77777777" w:rsidTr="00E0461C">
        <w:tc>
          <w:tcPr>
            <w:tcW w:w="13670" w:type="dxa"/>
          </w:tcPr>
          <w:p w14:paraId="32E5ADAE" w14:textId="2641E4A7" w:rsidR="00E0461C" w:rsidRPr="00B90944" w:rsidRDefault="00E0461C" w:rsidP="00122BF1">
            <w:pPr>
              <w:rPr>
                <w:szCs w:val="24"/>
              </w:rPr>
            </w:pPr>
            <w:proofErr w:type="gramStart"/>
            <w:r w:rsidRPr="00B90944">
              <w:rPr>
                <w:b/>
                <w:bCs/>
                <w:szCs w:val="24"/>
              </w:rPr>
              <w:t>Overall</w:t>
            </w:r>
            <w:proofErr w:type="gramEnd"/>
            <w:r w:rsidRPr="00B90944">
              <w:rPr>
                <w:b/>
                <w:bCs/>
                <w:szCs w:val="24"/>
              </w:rPr>
              <w:t xml:space="preserve"> 5-year plan</w:t>
            </w:r>
            <w:r w:rsidRPr="00B90944">
              <w:rPr>
                <w:szCs w:val="24"/>
              </w:rPr>
              <w:t xml:space="preserve"> (100 words):</w:t>
            </w:r>
          </w:p>
          <w:p w14:paraId="48EDAA17" w14:textId="77777777" w:rsidR="00D64469" w:rsidRDefault="00D64469" w:rsidP="00122BF1"/>
          <w:p w14:paraId="0701C51C" w14:textId="77777777" w:rsidR="00E0461C" w:rsidRDefault="00E0461C" w:rsidP="00122BF1"/>
        </w:tc>
      </w:tr>
    </w:tbl>
    <w:p w14:paraId="25768EB8" w14:textId="2ACBCE56" w:rsidR="00E06E74" w:rsidRDefault="00E06E74" w:rsidP="00122BF1">
      <w:pPr>
        <w:spacing w:after="0" w:line="240" w:lineRule="auto"/>
      </w:pPr>
    </w:p>
    <w:tbl>
      <w:tblPr>
        <w:tblStyle w:val="TableGrid"/>
        <w:tblW w:w="0" w:type="auto"/>
        <w:tblLook w:val="04A0" w:firstRow="1" w:lastRow="0" w:firstColumn="1" w:lastColumn="0" w:noHBand="0" w:noVBand="1"/>
        <w:tblCaption w:val="Strategy 1.1 Detailed Year 1 plan "/>
        <w:tblDescription w:val="Develop, implement, and maintain plan to rapidly detect and respond to outbreaks of hepatitis A, acute hepatitis B, and acute hepatitis C"/>
      </w:tblPr>
      <w:tblGrid>
        <w:gridCol w:w="13670"/>
      </w:tblGrid>
      <w:tr w:rsidR="00E0461C" w14:paraId="70D591CC" w14:textId="77777777" w:rsidTr="00E0461C">
        <w:tc>
          <w:tcPr>
            <w:tcW w:w="13670" w:type="dxa"/>
          </w:tcPr>
          <w:p w14:paraId="66951E6F" w14:textId="60A322DF" w:rsidR="00E0461C" w:rsidRPr="00B90944" w:rsidRDefault="00E0461C" w:rsidP="00122BF1">
            <w:pPr>
              <w:rPr>
                <w:szCs w:val="24"/>
              </w:rPr>
            </w:pPr>
            <w:r w:rsidRPr="00B90944">
              <w:rPr>
                <w:b/>
                <w:bCs/>
                <w:szCs w:val="24"/>
              </w:rPr>
              <w:t xml:space="preserve">Detailed Year 1 plan </w:t>
            </w:r>
            <w:r w:rsidRPr="00B90944">
              <w:rPr>
                <w:szCs w:val="24"/>
              </w:rPr>
              <w:t>(100 words):</w:t>
            </w:r>
          </w:p>
          <w:p w14:paraId="6D7DC224" w14:textId="77777777" w:rsidR="00D64469" w:rsidRDefault="00D64469" w:rsidP="00122BF1"/>
          <w:p w14:paraId="28416BE9" w14:textId="77777777" w:rsidR="00E0461C" w:rsidRDefault="00E0461C" w:rsidP="00122BF1"/>
        </w:tc>
      </w:tr>
    </w:tbl>
    <w:p w14:paraId="3EA63D04" w14:textId="77777777" w:rsidR="00E0461C" w:rsidRDefault="00E0461C" w:rsidP="00122BF1">
      <w:pPr>
        <w:spacing w:after="0" w:line="240" w:lineRule="auto"/>
      </w:pPr>
    </w:p>
    <w:p w14:paraId="75EFA9CB" w14:textId="5783101C" w:rsidR="00334BF6" w:rsidRDefault="00C7659D" w:rsidP="00122BF1">
      <w:pPr>
        <w:pStyle w:val="Heading3"/>
        <w:spacing w:before="0"/>
      </w:pPr>
      <w:r>
        <w:lastRenderedPageBreak/>
        <w:t>Outcome 1</w:t>
      </w:r>
      <w:r w:rsidR="00510244">
        <w:t>.1.1</w:t>
      </w:r>
      <w:r>
        <w:t>: Established jurisdictional framework for outbreak detection and response</w:t>
      </w:r>
    </w:p>
    <w:tbl>
      <w:tblPr>
        <w:tblStyle w:val="TableGrid"/>
        <w:tblW w:w="13670" w:type="dxa"/>
        <w:tblLook w:val="04A0" w:firstRow="1" w:lastRow="0" w:firstColumn="1" w:lastColumn="0" w:noHBand="0" w:noVBand="1"/>
        <w:tblCaption w:val="Outcome 1.1.1"/>
        <w:tblDescription w:val="Established jurisdictional framework for outbreak detection and response.  Two data rows with two blank columns on the right"/>
      </w:tblPr>
      <w:tblGrid>
        <w:gridCol w:w="5334"/>
        <w:gridCol w:w="5363"/>
        <w:gridCol w:w="1538"/>
        <w:gridCol w:w="1435"/>
      </w:tblGrid>
      <w:tr w:rsidR="0001104B" w:rsidRPr="008831BA" w14:paraId="14DF66A3" w14:textId="77777777" w:rsidTr="00F36D80">
        <w:trPr>
          <w:tblHeader/>
        </w:trPr>
        <w:tc>
          <w:tcPr>
            <w:tcW w:w="5334" w:type="dxa"/>
            <w:noWrap/>
          </w:tcPr>
          <w:p w14:paraId="4216A3A9" w14:textId="301820A4" w:rsidR="0001104B" w:rsidRPr="008831BA" w:rsidRDefault="0001104B" w:rsidP="00122BF1">
            <w:pPr>
              <w:rPr>
                <w:b/>
                <w:bCs/>
              </w:rPr>
            </w:pPr>
            <w:r w:rsidRPr="008831BA">
              <w:rPr>
                <w:b/>
                <w:bCs/>
              </w:rPr>
              <w:t>Year 1 Activities</w:t>
            </w:r>
          </w:p>
        </w:tc>
        <w:tc>
          <w:tcPr>
            <w:tcW w:w="5363" w:type="dxa"/>
            <w:noWrap/>
          </w:tcPr>
          <w:p w14:paraId="7991607C" w14:textId="3F9005DE" w:rsidR="0001104B" w:rsidRPr="008831BA" w:rsidRDefault="0001104B" w:rsidP="00122BF1">
            <w:pPr>
              <w:rPr>
                <w:b/>
                <w:bCs/>
              </w:rPr>
            </w:pPr>
            <w:r w:rsidRPr="008831BA">
              <w:rPr>
                <w:b/>
                <w:bCs/>
              </w:rPr>
              <w:t>Process Measure</w:t>
            </w:r>
            <w:r w:rsidR="26C2C816" w:rsidRPr="008831BA">
              <w:rPr>
                <w:b/>
                <w:bCs/>
              </w:rPr>
              <w:t>(s)</w:t>
            </w:r>
          </w:p>
        </w:tc>
        <w:tc>
          <w:tcPr>
            <w:tcW w:w="1538" w:type="dxa"/>
            <w:noWrap/>
          </w:tcPr>
          <w:p w14:paraId="592F69EF" w14:textId="3C6D1941" w:rsidR="0001104B" w:rsidRPr="008831BA" w:rsidRDefault="0001104B" w:rsidP="00122BF1">
            <w:pPr>
              <w:rPr>
                <w:b/>
                <w:bCs/>
              </w:rPr>
            </w:pPr>
            <w:r w:rsidRPr="008831BA">
              <w:rPr>
                <w:b/>
                <w:bCs/>
              </w:rPr>
              <w:t>Responsible Party/Person</w:t>
            </w:r>
          </w:p>
        </w:tc>
        <w:tc>
          <w:tcPr>
            <w:tcW w:w="1435" w:type="dxa"/>
            <w:noWrap/>
          </w:tcPr>
          <w:p w14:paraId="0AFFDD74" w14:textId="672957A4" w:rsidR="0001104B" w:rsidRPr="008831BA" w:rsidRDefault="00465FA0" w:rsidP="00122BF1">
            <w:pPr>
              <w:rPr>
                <w:b/>
                <w:bCs/>
              </w:rPr>
            </w:pPr>
            <w:r w:rsidRPr="008831BA">
              <w:rPr>
                <w:b/>
                <w:bCs/>
              </w:rPr>
              <w:t>Completion Date</w:t>
            </w:r>
          </w:p>
        </w:tc>
      </w:tr>
      <w:tr w:rsidR="0001104B" w14:paraId="69C48C44" w14:textId="77777777" w:rsidTr="00F36D80">
        <w:tc>
          <w:tcPr>
            <w:tcW w:w="5334" w:type="dxa"/>
            <w:noWrap/>
          </w:tcPr>
          <w:p w14:paraId="5971373B" w14:textId="259AC362" w:rsidR="0001104B" w:rsidRDefault="00465FA0" w:rsidP="00122BF1">
            <w:r>
              <w:t>1.</w:t>
            </w:r>
            <w:r w:rsidR="00624B2A">
              <w:t xml:space="preserve"> </w:t>
            </w:r>
            <w:r w:rsidR="00C346D3">
              <w:t xml:space="preserve">Engage surveillance stakeholders at the state and local levels and collaborate with CDC DVH epidemiologists to develop </w:t>
            </w:r>
            <w:r w:rsidR="002003B0">
              <w:t xml:space="preserve">a </w:t>
            </w:r>
            <w:r w:rsidR="00C346D3">
              <w:t>plan to rapidly detect and respond to outbreaks</w:t>
            </w:r>
            <w:r w:rsidR="002003B0">
              <w:t>.</w:t>
            </w:r>
          </w:p>
        </w:tc>
        <w:tc>
          <w:tcPr>
            <w:tcW w:w="5363" w:type="dxa"/>
            <w:noWrap/>
          </w:tcPr>
          <w:p w14:paraId="6760BF3A" w14:textId="7209D4CB" w:rsidR="00891380" w:rsidRDefault="00D12714" w:rsidP="00122BF1">
            <w:r w:rsidRPr="00610357">
              <w:rPr>
                <w:color w:val="385623" w:themeColor="accent6" w:themeShade="80"/>
              </w:rPr>
              <w:t>(example: not required) Engaged stakeholders and met ___ times (remotely) to develop</w:t>
            </w:r>
            <w:r w:rsidR="002003B0" w:rsidRPr="00610357">
              <w:rPr>
                <w:color w:val="385623" w:themeColor="accent6" w:themeShade="80"/>
              </w:rPr>
              <w:t xml:space="preserve"> a</w:t>
            </w:r>
            <w:r w:rsidRPr="00610357">
              <w:rPr>
                <w:color w:val="385623" w:themeColor="accent6" w:themeShade="80"/>
              </w:rPr>
              <w:t xml:space="preserve"> plan to rapidly detect and respond to outbreaks</w:t>
            </w:r>
          </w:p>
        </w:tc>
        <w:tc>
          <w:tcPr>
            <w:tcW w:w="1538" w:type="dxa"/>
            <w:noWrap/>
          </w:tcPr>
          <w:p w14:paraId="05950A63" w14:textId="77777777" w:rsidR="0001104B" w:rsidRDefault="0001104B" w:rsidP="00122BF1"/>
        </w:tc>
        <w:tc>
          <w:tcPr>
            <w:tcW w:w="1435" w:type="dxa"/>
            <w:noWrap/>
          </w:tcPr>
          <w:p w14:paraId="41BC242C" w14:textId="77777777" w:rsidR="0001104B" w:rsidRDefault="0001104B" w:rsidP="00122BF1"/>
        </w:tc>
      </w:tr>
      <w:tr w:rsidR="0001104B" w14:paraId="755D0709" w14:textId="77777777" w:rsidTr="00F36D80">
        <w:tc>
          <w:tcPr>
            <w:tcW w:w="5334" w:type="dxa"/>
            <w:noWrap/>
          </w:tcPr>
          <w:p w14:paraId="3445F634" w14:textId="3D46598C" w:rsidR="0001104B" w:rsidRDefault="00465FA0" w:rsidP="00122BF1">
            <w:r>
              <w:t>2.</w:t>
            </w:r>
            <w:r w:rsidR="00C346D3">
              <w:t xml:space="preserve"> Develop </w:t>
            </w:r>
            <w:r w:rsidR="002003B0">
              <w:t xml:space="preserve">a </w:t>
            </w:r>
            <w:r w:rsidR="00C346D3">
              <w:t>plan to respond to outbreaks of viral hepatitis</w:t>
            </w:r>
            <w:r w:rsidR="002003B0">
              <w:t>.</w:t>
            </w:r>
          </w:p>
        </w:tc>
        <w:tc>
          <w:tcPr>
            <w:tcW w:w="5363" w:type="dxa"/>
            <w:noWrap/>
          </w:tcPr>
          <w:p w14:paraId="0331BBC0" w14:textId="77777777" w:rsidR="00033CA2" w:rsidRDefault="00525266" w:rsidP="00122BF1">
            <w:r>
              <w:t>1.1.1</w:t>
            </w:r>
            <w:r w:rsidR="00CC4ED4">
              <w:t>.</w:t>
            </w:r>
            <w:r>
              <w:t>a. A documented plan for responding to hepatitis A, hepatitis B, and hepatitis C</w:t>
            </w:r>
            <w:r w:rsidR="00206CFA">
              <w:t xml:space="preserve"> infection</w:t>
            </w:r>
            <w:r>
              <w:t xml:space="preserve"> </w:t>
            </w:r>
            <w:r w:rsidR="00206CFA">
              <w:t>outbreaks</w:t>
            </w:r>
          </w:p>
          <w:p w14:paraId="2C2C2608" w14:textId="00E5992B" w:rsidR="00033CA2" w:rsidRDefault="00033CA2" w:rsidP="00122BF1">
            <w:r>
              <w:t>1.1.1.b. CDC is notified of outbreaks within 5 business days of identifying the outbreak</w:t>
            </w:r>
          </w:p>
          <w:p w14:paraId="7B02F923" w14:textId="7E3560BC" w:rsidR="0001104B" w:rsidRDefault="00033CA2" w:rsidP="00122BF1">
            <w:r>
              <w:t>1.1.1.c. CDC is notified of all cases associated with an outbreak within 30 days of case investigation start date</w:t>
            </w:r>
          </w:p>
        </w:tc>
        <w:tc>
          <w:tcPr>
            <w:tcW w:w="1538" w:type="dxa"/>
            <w:noWrap/>
          </w:tcPr>
          <w:p w14:paraId="3C1CA229" w14:textId="77777777" w:rsidR="0001104B" w:rsidRDefault="0001104B" w:rsidP="00122BF1"/>
        </w:tc>
        <w:tc>
          <w:tcPr>
            <w:tcW w:w="1435" w:type="dxa"/>
            <w:noWrap/>
          </w:tcPr>
          <w:p w14:paraId="3185CED8" w14:textId="77777777" w:rsidR="0001104B" w:rsidRDefault="0001104B" w:rsidP="00122BF1"/>
        </w:tc>
      </w:tr>
    </w:tbl>
    <w:p w14:paraId="37FF5BCC" w14:textId="232FA022" w:rsidR="002579E8" w:rsidRDefault="002579E8" w:rsidP="00122BF1">
      <w:pPr>
        <w:spacing w:after="0" w:line="240" w:lineRule="auto"/>
      </w:pPr>
    </w:p>
    <w:p w14:paraId="6A94EF02" w14:textId="0D567F11" w:rsidR="00E333C6" w:rsidRDefault="00E333C6" w:rsidP="00122BF1">
      <w:pPr>
        <w:pStyle w:val="Heading2"/>
        <w:spacing w:before="0"/>
      </w:pPr>
      <w:r>
        <w:t xml:space="preserve">Strategy 1.2: </w:t>
      </w:r>
      <w:r w:rsidR="007F5FD2" w:rsidRPr="007F5FD2">
        <w:t>Systematically collect, analyze, interpret, and disseminate data to characterize trends and implement public health interventions for hepatitis A, acute hepatitis B, and acute and chronic hepatitis C</w:t>
      </w:r>
    </w:p>
    <w:p w14:paraId="76B98E09" w14:textId="77777777" w:rsidR="00D64469" w:rsidRPr="00D64469" w:rsidRDefault="00D64469" w:rsidP="00122BF1">
      <w:pPr>
        <w:spacing w:after="0" w:line="240" w:lineRule="auto"/>
      </w:pPr>
    </w:p>
    <w:tbl>
      <w:tblPr>
        <w:tblStyle w:val="TableGrid"/>
        <w:tblW w:w="0" w:type="auto"/>
        <w:tblLook w:val="04A0" w:firstRow="1" w:lastRow="0" w:firstColumn="1" w:lastColumn="0" w:noHBand="0" w:noVBand="1"/>
        <w:tblCaption w:val="Strategy 1.2 Overall 5-year plan "/>
        <w:tblDescription w:val="Systematically collect, analyze, interpret, and disseminate data to characterize trends and implement public health interventions for hepatitis A, acute hepatitis B, and acute and chronic hepatitis C"/>
      </w:tblPr>
      <w:tblGrid>
        <w:gridCol w:w="13670"/>
      </w:tblGrid>
      <w:tr w:rsidR="00D64469" w14:paraId="454BAA65" w14:textId="77777777" w:rsidTr="008D35EF">
        <w:tc>
          <w:tcPr>
            <w:tcW w:w="13670" w:type="dxa"/>
          </w:tcPr>
          <w:p w14:paraId="19DD1304" w14:textId="77777777" w:rsidR="00D64469" w:rsidRDefault="00D64469" w:rsidP="00122BF1">
            <w:proofErr w:type="gramStart"/>
            <w:r w:rsidRPr="00384318">
              <w:rPr>
                <w:b/>
                <w:bCs/>
              </w:rPr>
              <w:t>Overall</w:t>
            </w:r>
            <w:proofErr w:type="gramEnd"/>
            <w:r w:rsidRPr="00384318">
              <w:rPr>
                <w:b/>
                <w:bCs/>
              </w:rPr>
              <w:t xml:space="preserve"> 5-year plan</w:t>
            </w:r>
            <w:r w:rsidRPr="00384318">
              <w:t xml:space="preserve"> </w:t>
            </w:r>
            <w:r>
              <w:t>(100 words):</w:t>
            </w:r>
          </w:p>
          <w:p w14:paraId="512F4F94" w14:textId="77777777" w:rsidR="00D64469" w:rsidRDefault="00D64469" w:rsidP="00122BF1"/>
          <w:p w14:paraId="1F0CB36A" w14:textId="77777777" w:rsidR="00D64469" w:rsidRDefault="00D64469" w:rsidP="00122BF1"/>
        </w:tc>
      </w:tr>
    </w:tbl>
    <w:p w14:paraId="02D4CA13" w14:textId="77777777" w:rsidR="00D64469" w:rsidRDefault="00D64469" w:rsidP="00122BF1">
      <w:pPr>
        <w:spacing w:after="0" w:line="240" w:lineRule="auto"/>
      </w:pPr>
    </w:p>
    <w:tbl>
      <w:tblPr>
        <w:tblStyle w:val="TableGrid"/>
        <w:tblW w:w="0" w:type="auto"/>
        <w:tblLook w:val="04A0" w:firstRow="1" w:lastRow="0" w:firstColumn="1" w:lastColumn="0" w:noHBand="0" w:noVBand="1"/>
        <w:tblCaption w:val="Strategy 1.2 Detailed Year 1 plan"/>
        <w:tblDescription w:val="Systematically collect, analyze, interpret, and disseminate data to characterize trends and implement public health interventions for hepatitis A, acute hepatitis B, and acute and chronic hepatitis C"/>
      </w:tblPr>
      <w:tblGrid>
        <w:gridCol w:w="13670"/>
      </w:tblGrid>
      <w:tr w:rsidR="00D64469" w14:paraId="5DE09ADA" w14:textId="77777777" w:rsidTr="008D35EF">
        <w:tc>
          <w:tcPr>
            <w:tcW w:w="13670" w:type="dxa"/>
          </w:tcPr>
          <w:p w14:paraId="3858E52A" w14:textId="77777777" w:rsidR="00D64469" w:rsidRDefault="00D64469" w:rsidP="00122BF1">
            <w:r w:rsidRPr="00384318">
              <w:rPr>
                <w:b/>
                <w:bCs/>
              </w:rPr>
              <w:t>Detailed Year 1 plan</w:t>
            </w:r>
            <w:r>
              <w:rPr>
                <w:b/>
                <w:bCs/>
              </w:rPr>
              <w:t xml:space="preserve"> </w:t>
            </w:r>
            <w:r>
              <w:t>(100 words):</w:t>
            </w:r>
          </w:p>
          <w:p w14:paraId="455C40D2" w14:textId="77777777" w:rsidR="00D64469" w:rsidRDefault="00D64469" w:rsidP="00122BF1"/>
          <w:p w14:paraId="7F2F8A7B" w14:textId="77777777" w:rsidR="00D64469" w:rsidRDefault="00D64469" w:rsidP="00122BF1"/>
        </w:tc>
      </w:tr>
    </w:tbl>
    <w:p w14:paraId="290FE990" w14:textId="77777777" w:rsidR="00D64469" w:rsidRDefault="00D64469" w:rsidP="00122BF1">
      <w:pPr>
        <w:pStyle w:val="Heading3"/>
        <w:spacing w:before="0"/>
      </w:pPr>
    </w:p>
    <w:p w14:paraId="7DA4679F" w14:textId="06A36B8C" w:rsidR="00E333C6" w:rsidRDefault="00E333C6" w:rsidP="00122BF1">
      <w:pPr>
        <w:pStyle w:val="Heading3"/>
        <w:spacing w:before="0"/>
      </w:pPr>
      <w:r>
        <w:t>Outcome 1</w:t>
      </w:r>
      <w:r w:rsidR="00413941">
        <w:t>.2.1</w:t>
      </w:r>
      <w:r>
        <w:t xml:space="preserve">: </w:t>
      </w:r>
      <w:r w:rsidR="003468B6" w:rsidRPr="003468B6">
        <w:t>Increased public health reporting of chronic and perinatal HCV and chronic HBV infection and</w:t>
      </w:r>
      <w:r w:rsidR="002003B0">
        <w:t xml:space="preserve"> of</w:t>
      </w:r>
      <w:r w:rsidR="003468B6" w:rsidRPr="003468B6">
        <w:t xml:space="preserve"> undetectable HCV RNA and HBV DN</w:t>
      </w:r>
      <w:r w:rsidR="007F3408">
        <w:t>A</w:t>
      </w:r>
      <w:r w:rsidR="003468B6" w:rsidRPr="003468B6">
        <w:t xml:space="preserve"> laboratory results.</w:t>
      </w:r>
    </w:p>
    <w:tbl>
      <w:tblPr>
        <w:tblStyle w:val="TableGrid"/>
        <w:tblW w:w="13670" w:type="dxa"/>
        <w:tblLook w:val="04A0" w:firstRow="1" w:lastRow="0" w:firstColumn="1" w:lastColumn="0" w:noHBand="0" w:noVBand="1"/>
        <w:tblCaption w:val="Outcome 1.2.1"/>
        <w:tblDescription w:val="Increased public health reporting of chronic and perinatal HCV and chronic HBV infection and of undetectable HCV RNA and HBV DNA laboratory results. Two data rows with two blank columns on the right."/>
      </w:tblPr>
      <w:tblGrid>
        <w:gridCol w:w="5320"/>
        <w:gridCol w:w="5374"/>
        <w:gridCol w:w="1541"/>
        <w:gridCol w:w="1435"/>
      </w:tblGrid>
      <w:tr w:rsidR="00D67624" w:rsidRPr="008831BA" w14:paraId="1512F7D5" w14:textId="77777777" w:rsidTr="00F36D80">
        <w:tc>
          <w:tcPr>
            <w:tcW w:w="5320" w:type="dxa"/>
            <w:noWrap/>
          </w:tcPr>
          <w:p w14:paraId="27282CE8" w14:textId="77777777" w:rsidR="00E333C6" w:rsidRPr="008831BA" w:rsidRDefault="00E333C6" w:rsidP="00122BF1">
            <w:pPr>
              <w:rPr>
                <w:b/>
                <w:bCs/>
              </w:rPr>
            </w:pPr>
            <w:r w:rsidRPr="008831BA">
              <w:rPr>
                <w:b/>
                <w:bCs/>
              </w:rPr>
              <w:t>Year 1 Activities</w:t>
            </w:r>
          </w:p>
        </w:tc>
        <w:tc>
          <w:tcPr>
            <w:tcW w:w="5374" w:type="dxa"/>
            <w:noWrap/>
          </w:tcPr>
          <w:p w14:paraId="4B4F9AB8" w14:textId="70844F36" w:rsidR="00E333C6" w:rsidRPr="008831BA" w:rsidRDefault="00E333C6" w:rsidP="00122BF1">
            <w:pPr>
              <w:rPr>
                <w:b/>
                <w:bCs/>
              </w:rPr>
            </w:pPr>
            <w:r w:rsidRPr="008831BA">
              <w:rPr>
                <w:b/>
                <w:bCs/>
              </w:rPr>
              <w:t>Process Measure</w:t>
            </w:r>
            <w:r w:rsidR="080D7F39" w:rsidRPr="008831BA">
              <w:rPr>
                <w:b/>
                <w:bCs/>
              </w:rPr>
              <w:t>(s)</w:t>
            </w:r>
          </w:p>
        </w:tc>
        <w:tc>
          <w:tcPr>
            <w:tcW w:w="1541" w:type="dxa"/>
            <w:noWrap/>
          </w:tcPr>
          <w:p w14:paraId="47EF67E6" w14:textId="77777777" w:rsidR="00E333C6" w:rsidRPr="008831BA" w:rsidRDefault="00E333C6" w:rsidP="00122BF1">
            <w:pPr>
              <w:rPr>
                <w:b/>
                <w:bCs/>
              </w:rPr>
            </w:pPr>
            <w:r w:rsidRPr="008831BA">
              <w:rPr>
                <w:b/>
                <w:bCs/>
              </w:rPr>
              <w:t>Responsible Party/Person</w:t>
            </w:r>
          </w:p>
        </w:tc>
        <w:tc>
          <w:tcPr>
            <w:tcW w:w="1435" w:type="dxa"/>
            <w:noWrap/>
          </w:tcPr>
          <w:p w14:paraId="4671C157" w14:textId="77777777" w:rsidR="00E333C6" w:rsidRPr="008831BA" w:rsidRDefault="00E333C6" w:rsidP="00122BF1">
            <w:pPr>
              <w:rPr>
                <w:b/>
                <w:bCs/>
              </w:rPr>
            </w:pPr>
            <w:r w:rsidRPr="008831BA">
              <w:rPr>
                <w:b/>
                <w:bCs/>
              </w:rPr>
              <w:t>Completion Date</w:t>
            </w:r>
          </w:p>
        </w:tc>
      </w:tr>
      <w:tr w:rsidR="00D67624" w14:paraId="0DD5E82D" w14:textId="77777777" w:rsidTr="00F36D80">
        <w:tc>
          <w:tcPr>
            <w:tcW w:w="5320" w:type="dxa"/>
            <w:noWrap/>
          </w:tcPr>
          <w:p w14:paraId="13BA55F6" w14:textId="6600BB71" w:rsidR="00E333C6" w:rsidRDefault="00E333C6" w:rsidP="00122BF1">
            <w:r>
              <w:lastRenderedPageBreak/>
              <w:t>1.</w:t>
            </w:r>
            <w:r w:rsidR="008827EA">
              <w:t xml:space="preserve"> Collaboration with jurisdictional public health staff and leaders</w:t>
            </w:r>
            <w:r w:rsidR="002003B0">
              <w:t>,</w:t>
            </w:r>
            <w:r w:rsidR="008827EA">
              <w:t xml:space="preserve"> </w:t>
            </w:r>
            <w:r w:rsidR="00903485">
              <w:t>as appropriate</w:t>
            </w:r>
            <w:r w:rsidR="002003B0">
              <w:t>,</w:t>
            </w:r>
            <w:r w:rsidR="00903485">
              <w:t xml:space="preserve"> to </w:t>
            </w:r>
            <w:r w:rsidR="00B556C2">
              <w:t xml:space="preserve">identify and address gaps in surveillance for </w:t>
            </w:r>
            <w:r w:rsidR="00E85AE7">
              <w:t xml:space="preserve">chronic </w:t>
            </w:r>
            <w:r w:rsidR="00E85AE7" w:rsidRPr="00E85AE7">
              <w:t xml:space="preserve">and perinatal HCV and chronic HBV infection and </w:t>
            </w:r>
            <w:r w:rsidR="002003B0">
              <w:t xml:space="preserve">for </w:t>
            </w:r>
            <w:r w:rsidR="00E85AE7" w:rsidRPr="00E85AE7">
              <w:t>undetectable HCV RNA and HBV DNA laboratory results</w:t>
            </w:r>
            <w:r w:rsidR="00E85AE7">
              <w:t>.</w:t>
            </w:r>
          </w:p>
        </w:tc>
        <w:tc>
          <w:tcPr>
            <w:tcW w:w="5374" w:type="dxa"/>
            <w:noWrap/>
          </w:tcPr>
          <w:p w14:paraId="4F60DCE6" w14:textId="77777777" w:rsidR="00033CA2" w:rsidRDefault="00033CA2" w:rsidP="00122BF1">
            <w:r>
              <w:t>1.2.1.a. Jurisdiction receives all HCV RNA and HBV DNA results (positive/detectable, negative/undetectable)</w:t>
            </w:r>
          </w:p>
          <w:p w14:paraId="6E807EF4" w14:textId="52073EBE" w:rsidR="00A24FA9" w:rsidRDefault="00A24FA9" w:rsidP="00122BF1"/>
        </w:tc>
        <w:tc>
          <w:tcPr>
            <w:tcW w:w="1541" w:type="dxa"/>
            <w:noWrap/>
          </w:tcPr>
          <w:p w14:paraId="52934682" w14:textId="77777777" w:rsidR="00E333C6" w:rsidRDefault="00E333C6" w:rsidP="00122BF1"/>
        </w:tc>
        <w:tc>
          <w:tcPr>
            <w:tcW w:w="1435" w:type="dxa"/>
            <w:noWrap/>
          </w:tcPr>
          <w:p w14:paraId="7704CA68" w14:textId="77777777" w:rsidR="00E333C6" w:rsidRDefault="00E333C6" w:rsidP="00122BF1"/>
        </w:tc>
      </w:tr>
      <w:tr w:rsidR="00D67624" w14:paraId="2B8E740B" w14:textId="77777777" w:rsidTr="00F36D80">
        <w:tc>
          <w:tcPr>
            <w:tcW w:w="5320" w:type="dxa"/>
            <w:noWrap/>
          </w:tcPr>
          <w:p w14:paraId="6238CB81" w14:textId="57051FF4" w:rsidR="00E333C6" w:rsidRDefault="00E333C6" w:rsidP="00122BF1">
            <w:r>
              <w:t>2.</w:t>
            </w:r>
            <w:r w:rsidR="002100A5">
              <w:t xml:space="preserve"> Inform laboratories that conduct hepatitis testing of reporting requirements and establish a mechanism for </w:t>
            </w:r>
            <w:r w:rsidR="0058777C">
              <w:t>reporting to the appropriate local or state health department.</w:t>
            </w:r>
          </w:p>
        </w:tc>
        <w:tc>
          <w:tcPr>
            <w:tcW w:w="5374" w:type="dxa"/>
            <w:noWrap/>
          </w:tcPr>
          <w:p w14:paraId="37E406CE" w14:textId="466180E6" w:rsidR="006242C2" w:rsidRDefault="006242C2" w:rsidP="00122BF1">
            <w:r>
              <w:t>1.2.2.a</w:t>
            </w:r>
            <w:r w:rsidR="002003B0">
              <w:t>.</w:t>
            </w:r>
            <w:r>
              <w:t xml:space="preserve"> Laboratories that perform viral hepatitis-related testing report </w:t>
            </w:r>
            <w:r w:rsidR="00800012">
              <w:rPr>
                <w:rFonts w:cstheme="minorHAnsi"/>
              </w:rPr>
              <w:t>≥</w:t>
            </w:r>
            <w:r w:rsidR="00800012">
              <w:t xml:space="preserve"> </w:t>
            </w:r>
            <w:r w:rsidR="00EA620D">
              <w:t xml:space="preserve">___% </w:t>
            </w:r>
            <w:r w:rsidR="00117B0D">
              <w:t>[Y</w:t>
            </w:r>
            <w:proofErr w:type="gramStart"/>
            <w:r w:rsidR="00117B0D">
              <w:t>1]</w:t>
            </w:r>
            <w:r w:rsidR="00EA620D">
              <w:t>(</w:t>
            </w:r>
            <w:proofErr w:type="gramEnd"/>
            <w:r>
              <w:t>95%</w:t>
            </w:r>
            <w:r w:rsidR="00117B0D">
              <w:t xml:space="preserve"> </w:t>
            </w:r>
            <w:r w:rsidR="002F1B2A">
              <w:t>Y3</w:t>
            </w:r>
            <w:r w:rsidR="00EA620D">
              <w:t>)</w:t>
            </w:r>
            <w:r>
              <w:t xml:space="preserve"> of viral hepatitis</w:t>
            </w:r>
            <w:r w:rsidR="00EA620D">
              <w:t xml:space="preserve"> related test results to state or local health department</w:t>
            </w:r>
          </w:p>
        </w:tc>
        <w:tc>
          <w:tcPr>
            <w:tcW w:w="1541" w:type="dxa"/>
            <w:noWrap/>
          </w:tcPr>
          <w:p w14:paraId="41E5D8BD" w14:textId="77777777" w:rsidR="00E333C6" w:rsidRDefault="00E333C6" w:rsidP="00122BF1"/>
        </w:tc>
        <w:tc>
          <w:tcPr>
            <w:tcW w:w="1435" w:type="dxa"/>
            <w:noWrap/>
          </w:tcPr>
          <w:p w14:paraId="29B8A493" w14:textId="77777777" w:rsidR="00E333C6" w:rsidRDefault="00E333C6" w:rsidP="00122BF1"/>
        </w:tc>
      </w:tr>
    </w:tbl>
    <w:p w14:paraId="4DF4014B" w14:textId="77777777" w:rsidR="00E333C6" w:rsidRDefault="00E333C6" w:rsidP="00122BF1">
      <w:pPr>
        <w:spacing w:after="0" w:line="240" w:lineRule="auto"/>
      </w:pPr>
    </w:p>
    <w:p w14:paraId="482549BB" w14:textId="0195D95E" w:rsidR="007F3408" w:rsidRDefault="007F3408" w:rsidP="00122BF1">
      <w:pPr>
        <w:pStyle w:val="Heading3"/>
        <w:spacing w:before="0"/>
      </w:pPr>
      <w:r>
        <w:t xml:space="preserve">Outcome </w:t>
      </w:r>
      <w:r w:rsidR="00413941">
        <w:t>1.2.</w:t>
      </w:r>
      <w:r>
        <w:t xml:space="preserve">2: </w:t>
      </w:r>
      <w:r w:rsidR="005033A2" w:rsidRPr="005033A2">
        <w:t>Improved monitoring of burden of disease and trends in hepatitis A, acute hepatitis B, and acute hepatitis C</w:t>
      </w:r>
    </w:p>
    <w:tbl>
      <w:tblPr>
        <w:tblStyle w:val="TableGrid"/>
        <w:tblW w:w="13670" w:type="dxa"/>
        <w:tblLook w:val="04A0" w:firstRow="1" w:lastRow="0" w:firstColumn="1" w:lastColumn="0" w:noHBand="0" w:noVBand="1"/>
        <w:tblCaption w:val="Outcome 1.2.2"/>
        <w:tblDescription w:val="Improved monitoring of burden of disease and trends in hepatitis A, acute hepatitis B, and acute hepatitis C. Three data rows with two blank columns on the right."/>
      </w:tblPr>
      <w:tblGrid>
        <w:gridCol w:w="5297"/>
        <w:gridCol w:w="5398"/>
        <w:gridCol w:w="1540"/>
        <w:gridCol w:w="1435"/>
      </w:tblGrid>
      <w:tr w:rsidR="00D67624" w:rsidRPr="008831BA" w14:paraId="6EB908C2" w14:textId="77777777" w:rsidTr="00F36D80">
        <w:tc>
          <w:tcPr>
            <w:tcW w:w="5297" w:type="dxa"/>
            <w:noWrap/>
          </w:tcPr>
          <w:p w14:paraId="598A563C" w14:textId="77777777" w:rsidR="007F3408" w:rsidRPr="008831BA" w:rsidRDefault="007F3408" w:rsidP="00122BF1">
            <w:pPr>
              <w:rPr>
                <w:b/>
                <w:bCs/>
              </w:rPr>
            </w:pPr>
            <w:r w:rsidRPr="008831BA">
              <w:rPr>
                <w:b/>
                <w:bCs/>
              </w:rPr>
              <w:t>Year 1 Activities</w:t>
            </w:r>
          </w:p>
        </w:tc>
        <w:tc>
          <w:tcPr>
            <w:tcW w:w="5398" w:type="dxa"/>
            <w:noWrap/>
          </w:tcPr>
          <w:p w14:paraId="2B1B2AB1" w14:textId="7266C0FD" w:rsidR="007F3408" w:rsidRPr="008831BA" w:rsidRDefault="007F3408" w:rsidP="00122BF1">
            <w:pPr>
              <w:rPr>
                <w:b/>
                <w:bCs/>
              </w:rPr>
            </w:pPr>
            <w:r w:rsidRPr="008831BA">
              <w:rPr>
                <w:b/>
                <w:bCs/>
              </w:rPr>
              <w:t>Process Measure</w:t>
            </w:r>
            <w:r w:rsidR="3CED0942" w:rsidRPr="008831BA">
              <w:rPr>
                <w:b/>
                <w:bCs/>
              </w:rPr>
              <w:t>(s)</w:t>
            </w:r>
          </w:p>
        </w:tc>
        <w:tc>
          <w:tcPr>
            <w:tcW w:w="1540" w:type="dxa"/>
            <w:noWrap/>
          </w:tcPr>
          <w:p w14:paraId="4C419B8C" w14:textId="77777777" w:rsidR="007F3408" w:rsidRPr="008831BA" w:rsidRDefault="007F3408" w:rsidP="00122BF1">
            <w:pPr>
              <w:rPr>
                <w:b/>
                <w:bCs/>
              </w:rPr>
            </w:pPr>
            <w:r w:rsidRPr="008831BA">
              <w:rPr>
                <w:b/>
                <w:bCs/>
              </w:rPr>
              <w:t>Responsible Party/Person</w:t>
            </w:r>
          </w:p>
        </w:tc>
        <w:tc>
          <w:tcPr>
            <w:tcW w:w="1435" w:type="dxa"/>
            <w:noWrap/>
          </w:tcPr>
          <w:p w14:paraId="0BF91C22" w14:textId="77777777" w:rsidR="007F3408" w:rsidRPr="008831BA" w:rsidRDefault="007F3408" w:rsidP="00122BF1">
            <w:pPr>
              <w:rPr>
                <w:b/>
                <w:bCs/>
              </w:rPr>
            </w:pPr>
            <w:r w:rsidRPr="008831BA">
              <w:rPr>
                <w:b/>
                <w:bCs/>
              </w:rPr>
              <w:t>Completion Date</w:t>
            </w:r>
          </w:p>
        </w:tc>
      </w:tr>
      <w:tr w:rsidR="00D67624" w14:paraId="64F82520" w14:textId="77777777" w:rsidTr="00F36D80">
        <w:tc>
          <w:tcPr>
            <w:tcW w:w="5297" w:type="dxa"/>
            <w:noWrap/>
          </w:tcPr>
          <w:p w14:paraId="4B91F476" w14:textId="320E8286" w:rsidR="007F3408" w:rsidRDefault="007F3408" w:rsidP="00122BF1">
            <w:r>
              <w:t>1.</w:t>
            </w:r>
            <w:r w:rsidR="0092749D">
              <w:t xml:space="preserve"> Develop and implement a plan to improve</w:t>
            </w:r>
            <w:r w:rsidR="006F275D">
              <w:t xml:space="preserve"> completeness of case reports for hepatitis A, acute hepatitis B, and acute and chronic hepatitis C.</w:t>
            </w:r>
          </w:p>
        </w:tc>
        <w:tc>
          <w:tcPr>
            <w:tcW w:w="5398" w:type="dxa"/>
            <w:noWrap/>
          </w:tcPr>
          <w:p w14:paraId="395C219E" w14:textId="5247593C" w:rsidR="007F3408" w:rsidRDefault="00473928" w:rsidP="00122BF1">
            <w:r>
              <w:t>1.2.2.d</w:t>
            </w:r>
            <w:r w:rsidR="002003B0">
              <w:t>.</w:t>
            </w:r>
            <w:r>
              <w:t xml:space="preserve"> </w:t>
            </w:r>
            <w:r>
              <w:rPr>
                <w:rFonts w:cstheme="minorHAnsi"/>
              </w:rPr>
              <w:t>≥</w:t>
            </w:r>
            <w:r>
              <w:t xml:space="preserve"> ___% [Y1] (90% </w:t>
            </w:r>
            <w:r w:rsidR="002F1B2A">
              <w:t>Y3</w:t>
            </w:r>
            <w:r>
              <w:t xml:space="preserve">) </w:t>
            </w:r>
            <w:r w:rsidR="00E675F5">
              <w:t xml:space="preserve">of case reports are </w:t>
            </w:r>
            <w:r>
              <w:t>complete for age, gender, race</w:t>
            </w:r>
            <w:r w:rsidR="000832B7">
              <w:t>/ethnicity, county of residence, and outbreak status.</w:t>
            </w:r>
          </w:p>
        </w:tc>
        <w:tc>
          <w:tcPr>
            <w:tcW w:w="1540" w:type="dxa"/>
            <w:noWrap/>
          </w:tcPr>
          <w:p w14:paraId="1E828091" w14:textId="77777777" w:rsidR="007F3408" w:rsidRDefault="007F3408" w:rsidP="00122BF1"/>
        </w:tc>
        <w:tc>
          <w:tcPr>
            <w:tcW w:w="1435" w:type="dxa"/>
            <w:noWrap/>
          </w:tcPr>
          <w:p w14:paraId="0F8B102C" w14:textId="77777777" w:rsidR="007F3408" w:rsidRDefault="007F3408" w:rsidP="00122BF1"/>
        </w:tc>
      </w:tr>
      <w:tr w:rsidR="00D67624" w14:paraId="26F3C02E" w14:textId="77777777" w:rsidTr="00F36D80">
        <w:tc>
          <w:tcPr>
            <w:tcW w:w="5297" w:type="dxa"/>
            <w:noWrap/>
          </w:tcPr>
          <w:p w14:paraId="1EB51EDC" w14:textId="2049EFA3" w:rsidR="007F3408" w:rsidRDefault="007F3408" w:rsidP="00122BF1">
            <w:r>
              <w:t>2.</w:t>
            </w:r>
            <w:r w:rsidR="004704FA">
              <w:t xml:space="preserve"> </w:t>
            </w:r>
            <w:r w:rsidR="00754957">
              <w:t>Follow-up with health care providers and/or case patients to improve completeness of risk factor information for all cases of hepatitis A, acute hepatitis B and acute hepatitis C.</w:t>
            </w:r>
          </w:p>
        </w:tc>
        <w:tc>
          <w:tcPr>
            <w:tcW w:w="5398" w:type="dxa"/>
            <w:noWrap/>
          </w:tcPr>
          <w:p w14:paraId="256D966B" w14:textId="6BAC7668" w:rsidR="007F3408" w:rsidRDefault="000832B7" w:rsidP="00122BF1">
            <w:r>
              <w:t>1.2.2.</w:t>
            </w:r>
            <w:r w:rsidR="00995EDF">
              <w:t>e</w:t>
            </w:r>
            <w:r w:rsidR="002003B0">
              <w:t>.</w:t>
            </w:r>
            <w:r w:rsidR="00995EDF">
              <w:t xml:space="preserve"> </w:t>
            </w:r>
            <w:r w:rsidR="00995EDF">
              <w:rPr>
                <w:rFonts w:cstheme="minorHAnsi"/>
              </w:rPr>
              <w:t>≥</w:t>
            </w:r>
            <w:r w:rsidR="00995EDF">
              <w:t xml:space="preserve"> ___% [Y1] (90% </w:t>
            </w:r>
            <w:r w:rsidR="002F1B2A">
              <w:t>Y3</w:t>
            </w:r>
            <w:r w:rsidR="00995EDF">
              <w:t xml:space="preserve">) </w:t>
            </w:r>
            <w:r w:rsidR="00E675F5">
              <w:t xml:space="preserve">of case reports are </w:t>
            </w:r>
            <w:r w:rsidR="00995EDF">
              <w:t>complete for risk factors.</w:t>
            </w:r>
          </w:p>
        </w:tc>
        <w:tc>
          <w:tcPr>
            <w:tcW w:w="1540" w:type="dxa"/>
            <w:noWrap/>
          </w:tcPr>
          <w:p w14:paraId="78305F0F" w14:textId="77777777" w:rsidR="007F3408" w:rsidRDefault="007F3408" w:rsidP="00122BF1"/>
        </w:tc>
        <w:tc>
          <w:tcPr>
            <w:tcW w:w="1435" w:type="dxa"/>
            <w:noWrap/>
          </w:tcPr>
          <w:p w14:paraId="72BBBAA2" w14:textId="77777777" w:rsidR="007F3408" w:rsidRDefault="007F3408" w:rsidP="00122BF1"/>
        </w:tc>
      </w:tr>
      <w:tr w:rsidR="00D67624" w14:paraId="1495152E" w14:textId="77777777" w:rsidTr="00F36D80">
        <w:tc>
          <w:tcPr>
            <w:tcW w:w="5297" w:type="dxa"/>
            <w:noWrap/>
          </w:tcPr>
          <w:p w14:paraId="70206AC4" w14:textId="414E3539" w:rsidR="007F3408" w:rsidRDefault="007F3408" w:rsidP="00122BF1">
            <w:r>
              <w:t>3.</w:t>
            </w:r>
            <w:r w:rsidR="004704FA">
              <w:t xml:space="preserve"> Notify CDC of all cases of hepatitis A, acute hepatitis</w:t>
            </w:r>
            <w:r w:rsidR="003C6D5F">
              <w:t xml:space="preserve"> B</w:t>
            </w:r>
            <w:r w:rsidR="002003B0">
              <w:t>,</w:t>
            </w:r>
            <w:r w:rsidR="003C6D5F">
              <w:t xml:space="preserve"> and acute hepatitis C that meet the CSTE case definition</w:t>
            </w:r>
            <w:r w:rsidR="002003B0">
              <w:t>.</w:t>
            </w:r>
          </w:p>
        </w:tc>
        <w:tc>
          <w:tcPr>
            <w:tcW w:w="5398" w:type="dxa"/>
            <w:noWrap/>
          </w:tcPr>
          <w:p w14:paraId="183C2683" w14:textId="549B7A37" w:rsidR="007F3408" w:rsidRDefault="006061DB" w:rsidP="00122BF1">
            <w:r>
              <w:t>1.2.2.b</w:t>
            </w:r>
            <w:r w:rsidR="002003B0">
              <w:t>.</w:t>
            </w:r>
            <w:r>
              <w:t xml:space="preserve"> </w:t>
            </w:r>
            <w:r w:rsidR="00800012">
              <w:rPr>
                <w:rFonts w:cstheme="minorHAnsi"/>
              </w:rPr>
              <w:t>≥</w:t>
            </w:r>
            <w:r>
              <w:t xml:space="preserve"> </w:t>
            </w:r>
            <w:r w:rsidR="00464DA9">
              <w:t>___% [Y</w:t>
            </w:r>
            <w:proofErr w:type="gramStart"/>
            <w:r w:rsidR="00464DA9">
              <w:t>1](</w:t>
            </w:r>
            <w:proofErr w:type="gramEnd"/>
            <w:r>
              <w:t>85%</w:t>
            </w:r>
            <w:r w:rsidR="00800012">
              <w:t xml:space="preserve"> </w:t>
            </w:r>
            <w:r w:rsidR="002F1B2A">
              <w:t>Y3</w:t>
            </w:r>
            <w:r w:rsidR="00464DA9">
              <w:t>)</w:t>
            </w:r>
            <w:r>
              <w:t xml:space="preserve"> of lab results are entered into the jurisdiction’s viral hepatitis surveillance database within 60 days of specimen collection date.</w:t>
            </w:r>
          </w:p>
          <w:p w14:paraId="26ACDB0A" w14:textId="56B40E75" w:rsidR="00670844" w:rsidRDefault="00670844" w:rsidP="00122BF1">
            <w:r>
              <w:t>1.2.2.c</w:t>
            </w:r>
            <w:r w:rsidR="002003B0">
              <w:t>.</w:t>
            </w:r>
            <w:r>
              <w:t xml:space="preserve"> </w:t>
            </w:r>
            <w:r w:rsidR="00800012">
              <w:rPr>
                <w:rFonts w:cstheme="minorHAnsi"/>
              </w:rPr>
              <w:t>≥</w:t>
            </w:r>
            <w:r w:rsidR="00800012">
              <w:t xml:space="preserve"> </w:t>
            </w:r>
            <w:r>
              <w:t xml:space="preserve">___% [Y1] (90% </w:t>
            </w:r>
            <w:r w:rsidR="002F1B2A">
              <w:t>Y3</w:t>
            </w:r>
            <w:r>
              <w:t xml:space="preserve">) </w:t>
            </w:r>
            <w:r w:rsidR="00276D3D">
              <w:t>of case reports are submitted to CDC by the health department wi</w:t>
            </w:r>
            <w:r w:rsidR="0011624E">
              <w:t>t</w:t>
            </w:r>
            <w:r w:rsidR="00276D3D">
              <w:t>hin 90 days of case investigation start date.</w:t>
            </w:r>
          </w:p>
        </w:tc>
        <w:tc>
          <w:tcPr>
            <w:tcW w:w="1540" w:type="dxa"/>
            <w:noWrap/>
          </w:tcPr>
          <w:p w14:paraId="505BCF98" w14:textId="77777777" w:rsidR="007F3408" w:rsidRDefault="007F3408" w:rsidP="00122BF1"/>
        </w:tc>
        <w:tc>
          <w:tcPr>
            <w:tcW w:w="1435" w:type="dxa"/>
            <w:noWrap/>
          </w:tcPr>
          <w:p w14:paraId="6D37E690" w14:textId="77777777" w:rsidR="007F3408" w:rsidRDefault="007F3408" w:rsidP="00122BF1"/>
        </w:tc>
      </w:tr>
    </w:tbl>
    <w:p w14:paraId="365A4AB9" w14:textId="77777777" w:rsidR="007F3408" w:rsidRDefault="007F3408" w:rsidP="00122BF1">
      <w:pPr>
        <w:spacing w:after="0" w:line="240" w:lineRule="auto"/>
      </w:pPr>
    </w:p>
    <w:p w14:paraId="654BA6D7" w14:textId="3C532DEC" w:rsidR="0028075F" w:rsidRDefault="0028075F" w:rsidP="00122BF1">
      <w:pPr>
        <w:pStyle w:val="Heading3"/>
        <w:spacing w:before="0"/>
      </w:pPr>
      <w:r>
        <w:t xml:space="preserve">Outcome </w:t>
      </w:r>
      <w:r w:rsidR="008A21C5">
        <w:t>1.2.</w:t>
      </w:r>
      <w:r>
        <w:t xml:space="preserve">3: </w:t>
      </w:r>
      <w:r w:rsidRPr="005033A2">
        <w:t xml:space="preserve">Improved monitoring of burden of disease and trends </w:t>
      </w:r>
      <w:r>
        <w:t>chronic</w:t>
      </w:r>
      <w:r w:rsidRPr="005033A2">
        <w:t xml:space="preserve"> hepatitis C</w:t>
      </w:r>
    </w:p>
    <w:tbl>
      <w:tblPr>
        <w:tblStyle w:val="TableGrid"/>
        <w:tblW w:w="13670" w:type="dxa"/>
        <w:tblLook w:val="04A0" w:firstRow="1" w:lastRow="0" w:firstColumn="1" w:lastColumn="0" w:noHBand="0" w:noVBand="1"/>
        <w:tblCaption w:val="Outcome 1.2.3"/>
        <w:tblDescription w:val="Improved monitoring of burden of disease and trends chronic hepatitis C. Two data rows with two blank columns on the right."/>
      </w:tblPr>
      <w:tblGrid>
        <w:gridCol w:w="5315"/>
        <w:gridCol w:w="5379"/>
        <w:gridCol w:w="1541"/>
        <w:gridCol w:w="1435"/>
      </w:tblGrid>
      <w:tr w:rsidR="00890930" w:rsidRPr="008831BA" w14:paraId="5A771EBF" w14:textId="77777777" w:rsidTr="00F36D80">
        <w:tc>
          <w:tcPr>
            <w:tcW w:w="5315" w:type="dxa"/>
            <w:noWrap/>
          </w:tcPr>
          <w:p w14:paraId="224C724E" w14:textId="77777777" w:rsidR="0028075F" w:rsidRPr="008831BA" w:rsidRDefault="0028075F" w:rsidP="00122BF1">
            <w:pPr>
              <w:rPr>
                <w:b/>
                <w:bCs/>
              </w:rPr>
            </w:pPr>
            <w:r w:rsidRPr="008831BA">
              <w:rPr>
                <w:b/>
                <w:bCs/>
              </w:rPr>
              <w:t>Year 1 Activities</w:t>
            </w:r>
          </w:p>
        </w:tc>
        <w:tc>
          <w:tcPr>
            <w:tcW w:w="5379" w:type="dxa"/>
            <w:noWrap/>
          </w:tcPr>
          <w:p w14:paraId="69C9D8E6" w14:textId="54A46370" w:rsidR="0028075F" w:rsidRPr="008831BA" w:rsidRDefault="0028075F" w:rsidP="00122BF1">
            <w:pPr>
              <w:rPr>
                <w:b/>
                <w:bCs/>
              </w:rPr>
            </w:pPr>
            <w:r w:rsidRPr="008831BA">
              <w:rPr>
                <w:b/>
                <w:bCs/>
              </w:rPr>
              <w:t>Process Measure</w:t>
            </w:r>
            <w:r w:rsidR="58C6CEDF" w:rsidRPr="008831BA">
              <w:rPr>
                <w:b/>
                <w:bCs/>
              </w:rPr>
              <w:t>(s)</w:t>
            </w:r>
          </w:p>
        </w:tc>
        <w:tc>
          <w:tcPr>
            <w:tcW w:w="1541" w:type="dxa"/>
            <w:noWrap/>
          </w:tcPr>
          <w:p w14:paraId="7F92E317" w14:textId="77777777" w:rsidR="0028075F" w:rsidRPr="008831BA" w:rsidRDefault="0028075F" w:rsidP="00122BF1">
            <w:pPr>
              <w:rPr>
                <w:b/>
                <w:bCs/>
              </w:rPr>
            </w:pPr>
            <w:r w:rsidRPr="008831BA">
              <w:rPr>
                <w:b/>
                <w:bCs/>
              </w:rPr>
              <w:t>Responsible Party/Person</w:t>
            </w:r>
          </w:p>
        </w:tc>
        <w:tc>
          <w:tcPr>
            <w:tcW w:w="1435" w:type="dxa"/>
            <w:noWrap/>
          </w:tcPr>
          <w:p w14:paraId="411EED01" w14:textId="77777777" w:rsidR="0028075F" w:rsidRPr="008831BA" w:rsidRDefault="0028075F" w:rsidP="00122BF1">
            <w:pPr>
              <w:rPr>
                <w:b/>
                <w:bCs/>
              </w:rPr>
            </w:pPr>
            <w:r w:rsidRPr="008831BA">
              <w:rPr>
                <w:b/>
                <w:bCs/>
              </w:rPr>
              <w:t>Completion Date</w:t>
            </w:r>
          </w:p>
        </w:tc>
      </w:tr>
      <w:tr w:rsidR="00890930" w14:paraId="570D90F6" w14:textId="77777777" w:rsidTr="00F36D80">
        <w:tc>
          <w:tcPr>
            <w:tcW w:w="5315" w:type="dxa"/>
            <w:noWrap/>
          </w:tcPr>
          <w:p w14:paraId="26E367FF" w14:textId="3A08A199" w:rsidR="0028075F" w:rsidRDefault="0028075F" w:rsidP="00122BF1">
            <w:r>
              <w:lastRenderedPageBreak/>
              <w:t>1.</w:t>
            </w:r>
            <w:r w:rsidR="00504C19">
              <w:t xml:space="preserve"> </w:t>
            </w:r>
            <w:r w:rsidR="00B26BEF">
              <w:t>C</w:t>
            </w:r>
            <w:r w:rsidR="00504C19">
              <w:t xml:space="preserve">reate </w:t>
            </w:r>
            <w:r w:rsidR="00DA4389">
              <w:t xml:space="preserve">(and maintain) </w:t>
            </w:r>
            <w:r w:rsidR="00504C19">
              <w:t>a</w:t>
            </w:r>
            <w:r w:rsidR="00B26BEF">
              <w:t xml:space="preserve"> hepatitis C registry to avoid duplication of cases and to monitor continuum of cure.</w:t>
            </w:r>
            <w:r w:rsidR="00504C19">
              <w:t xml:space="preserve"> </w:t>
            </w:r>
          </w:p>
        </w:tc>
        <w:tc>
          <w:tcPr>
            <w:tcW w:w="5379" w:type="dxa"/>
            <w:noWrap/>
          </w:tcPr>
          <w:p w14:paraId="7D19569C" w14:textId="5043DE4D" w:rsidR="0028075F" w:rsidRDefault="00120CA1" w:rsidP="00122BF1">
            <w:r>
              <w:t>1.2.3.c</w:t>
            </w:r>
            <w:r w:rsidR="002003B0">
              <w:t>.</w:t>
            </w:r>
            <w:r>
              <w:t xml:space="preserve"> </w:t>
            </w:r>
            <w:r w:rsidR="00BA3F14" w:rsidRPr="00CB0855">
              <w:t xml:space="preserve">≥ ___% [Y1] (90% </w:t>
            </w:r>
            <w:r w:rsidR="002F1B2A" w:rsidRPr="00CB0855">
              <w:t>Y</w:t>
            </w:r>
            <w:r w:rsidR="002F1B2A">
              <w:t>3</w:t>
            </w:r>
            <w:r w:rsidR="00BA3F14" w:rsidRPr="00CB0855">
              <w:t xml:space="preserve">) </w:t>
            </w:r>
            <w:r w:rsidR="00BA3F14">
              <w:t xml:space="preserve">of case reports </w:t>
            </w:r>
            <w:r w:rsidR="00764A11">
              <w:t>are included in a longitudinal surveillance registry</w:t>
            </w:r>
            <w:r w:rsidR="009D21B6">
              <w:t>, including longitudinal detectable and undetectable HCV-RNA test results.</w:t>
            </w:r>
          </w:p>
        </w:tc>
        <w:tc>
          <w:tcPr>
            <w:tcW w:w="1541" w:type="dxa"/>
            <w:noWrap/>
          </w:tcPr>
          <w:p w14:paraId="501C889F" w14:textId="77777777" w:rsidR="0028075F" w:rsidRDefault="0028075F" w:rsidP="00122BF1"/>
        </w:tc>
        <w:tc>
          <w:tcPr>
            <w:tcW w:w="1435" w:type="dxa"/>
            <w:noWrap/>
          </w:tcPr>
          <w:p w14:paraId="71B20F9B" w14:textId="77777777" w:rsidR="0028075F" w:rsidRDefault="0028075F" w:rsidP="00122BF1"/>
        </w:tc>
      </w:tr>
      <w:tr w:rsidR="00890930" w14:paraId="7F8BE6AA" w14:textId="77777777" w:rsidTr="00F36D80">
        <w:tc>
          <w:tcPr>
            <w:tcW w:w="5315" w:type="dxa"/>
            <w:noWrap/>
          </w:tcPr>
          <w:p w14:paraId="3E7F1DAF" w14:textId="16372A8A" w:rsidR="0028075F" w:rsidRDefault="0028075F" w:rsidP="00122BF1">
            <w:r>
              <w:t>2.</w:t>
            </w:r>
            <w:r w:rsidR="003C6D5F">
              <w:t xml:space="preserve"> Notify CDC of all cases of chronic hepatitis C that meet the CSTE case definition</w:t>
            </w:r>
            <w:r w:rsidR="002003B0">
              <w:t>.</w:t>
            </w:r>
          </w:p>
        </w:tc>
        <w:tc>
          <w:tcPr>
            <w:tcW w:w="5379" w:type="dxa"/>
            <w:noWrap/>
          </w:tcPr>
          <w:p w14:paraId="7430D612" w14:textId="5D67BE82" w:rsidR="0028075F" w:rsidRDefault="003755E3" w:rsidP="00122BF1">
            <w:r>
              <w:t>1.2.3.a</w:t>
            </w:r>
            <w:r w:rsidR="002003B0">
              <w:t>.</w:t>
            </w:r>
            <w:r>
              <w:t xml:space="preserve"> </w:t>
            </w:r>
            <w:r>
              <w:rPr>
                <w:rFonts w:cstheme="minorHAnsi"/>
              </w:rPr>
              <w:t>≥</w:t>
            </w:r>
            <w:r>
              <w:t xml:space="preserve"> ___% [Y1] (90% </w:t>
            </w:r>
            <w:r w:rsidR="002F1B2A">
              <w:t>Y3</w:t>
            </w:r>
            <w:r>
              <w:t>) of case reports submitted to CDC within 90 days of case investigation start date</w:t>
            </w:r>
            <w:r w:rsidR="002003B0">
              <w:t>.</w:t>
            </w:r>
          </w:p>
          <w:p w14:paraId="2DA2A721" w14:textId="173B1290" w:rsidR="00CB0855" w:rsidRDefault="00CB0855" w:rsidP="00122BF1">
            <w:r>
              <w:t>1.2.3.b</w:t>
            </w:r>
            <w:r w:rsidR="002003B0">
              <w:t>.</w:t>
            </w:r>
            <w:r>
              <w:t xml:space="preserve"> </w:t>
            </w:r>
            <w:r w:rsidRPr="00CB0855">
              <w:t xml:space="preserve">≥ ___% [Y1] (90% </w:t>
            </w:r>
            <w:r w:rsidR="002F1B2A" w:rsidRPr="00CB0855">
              <w:t>Y</w:t>
            </w:r>
            <w:r w:rsidR="002F1B2A">
              <w:t>3</w:t>
            </w:r>
            <w:r w:rsidRPr="00CB0855">
              <w:t xml:space="preserve">) </w:t>
            </w:r>
            <w:r>
              <w:t xml:space="preserve">of case reports </w:t>
            </w:r>
            <w:r w:rsidR="00764A11">
              <w:t xml:space="preserve">submitted to CDC </w:t>
            </w:r>
            <w:r>
              <w:t xml:space="preserve">are </w:t>
            </w:r>
            <w:r w:rsidRPr="00CB0855">
              <w:t xml:space="preserve">complete for age, gender, race/ethnicity, </w:t>
            </w:r>
            <w:r w:rsidR="00BA3F14">
              <w:t xml:space="preserve">and </w:t>
            </w:r>
            <w:r w:rsidRPr="00CB0855">
              <w:t>county of residence</w:t>
            </w:r>
            <w:r w:rsidR="002003B0">
              <w:t>.</w:t>
            </w:r>
          </w:p>
        </w:tc>
        <w:tc>
          <w:tcPr>
            <w:tcW w:w="1541" w:type="dxa"/>
            <w:noWrap/>
          </w:tcPr>
          <w:p w14:paraId="53F26DAF" w14:textId="77777777" w:rsidR="0028075F" w:rsidRDefault="0028075F" w:rsidP="00122BF1"/>
        </w:tc>
        <w:tc>
          <w:tcPr>
            <w:tcW w:w="1435" w:type="dxa"/>
            <w:noWrap/>
          </w:tcPr>
          <w:p w14:paraId="1666C478" w14:textId="77777777" w:rsidR="0028075F" w:rsidRDefault="0028075F" w:rsidP="00122BF1"/>
        </w:tc>
      </w:tr>
    </w:tbl>
    <w:p w14:paraId="40F159D9" w14:textId="77777777" w:rsidR="007F3408" w:rsidRDefault="007F3408" w:rsidP="00122BF1">
      <w:pPr>
        <w:spacing w:after="0" w:line="240" w:lineRule="auto"/>
      </w:pPr>
    </w:p>
    <w:p w14:paraId="627F5447" w14:textId="2A76097B" w:rsidR="00AA6AE0" w:rsidRDefault="00AA6AE0" w:rsidP="00122BF1">
      <w:pPr>
        <w:pStyle w:val="Heading2"/>
        <w:spacing w:before="0"/>
      </w:pPr>
      <w:r>
        <w:t xml:space="preserve">Strategy 1.3: </w:t>
      </w:r>
      <w:r w:rsidRPr="007F5FD2">
        <w:t xml:space="preserve">Systematically collect, analyze, interpret, and disseminate data to characterize trends and implement public health interventions for chronic hepatitis </w:t>
      </w:r>
      <w:r w:rsidR="00475FA2">
        <w:t>B</w:t>
      </w:r>
      <w:r w:rsidR="00383946">
        <w:t xml:space="preserve"> and perinatal hepatitis C</w:t>
      </w:r>
      <w:r w:rsidR="006B416E">
        <w:t xml:space="preserve"> (</w:t>
      </w:r>
      <w:r w:rsidR="002003B0">
        <w:t>r</w:t>
      </w:r>
      <w:r w:rsidR="006B416E">
        <w:t xml:space="preserve">equired for application, but contingent on funding) </w:t>
      </w:r>
    </w:p>
    <w:p w14:paraId="0DD70BF6" w14:textId="77777777" w:rsidR="00D64469" w:rsidRPr="00D64469" w:rsidRDefault="00D64469" w:rsidP="00122BF1">
      <w:pPr>
        <w:spacing w:after="0" w:line="240" w:lineRule="auto"/>
      </w:pPr>
    </w:p>
    <w:tbl>
      <w:tblPr>
        <w:tblStyle w:val="TableGrid"/>
        <w:tblW w:w="0" w:type="auto"/>
        <w:tblLook w:val="04A0" w:firstRow="1" w:lastRow="0" w:firstColumn="1" w:lastColumn="0" w:noHBand="0" w:noVBand="1"/>
        <w:tblCaption w:val="Strategy 1.3: Overall 5 year plan"/>
        <w:tblDescription w:val="Systematically collect, analyze, interpret, and disseminate data to characterize trends and implement public health interventions for chronic hepatitis B and perinatal hepatitis C (required for application, but contingent on funding) "/>
      </w:tblPr>
      <w:tblGrid>
        <w:gridCol w:w="13670"/>
      </w:tblGrid>
      <w:tr w:rsidR="00D64469" w14:paraId="7D6BB5C4" w14:textId="77777777" w:rsidTr="00890930">
        <w:tc>
          <w:tcPr>
            <w:tcW w:w="13670" w:type="dxa"/>
            <w:noWrap/>
          </w:tcPr>
          <w:p w14:paraId="0DF293E4" w14:textId="77777777" w:rsidR="00D64469" w:rsidRDefault="00D64469" w:rsidP="00122BF1">
            <w:proofErr w:type="gramStart"/>
            <w:r w:rsidRPr="00384318">
              <w:rPr>
                <w:b/>
                <w:bCs/>
              </w:rPr>
              <w:t>Overall</w:t>
            </w:r>
            <w:proofErr w:type="gramEnd"/>
            <w:r w:rsidRPr="00384318">
              <w:rPr>
                <w:b/>
                <w:bCs/>
              </w:rPr>
              <w:t xml:space="preserve"> 5-year plan</w:t>
            </w:r>
            <w:r w:rsidRPr="00384318">
              <w:t xml:space="preserve"> </w:t>
            </w:r>
            <w:r>
              <w:t>(100 words):</w:t>
            </w:r>
          </w:p>
          <w:p w14:paraId="2E205C29" w14:textId="77777777" w:rsidR="00D64469" w:rsidRDefault="00D64469" w:rsidP="00122BF1"/>
          <w:p w14:paraId="2A7C4B91" w14:textId="77777777" w:rsidR="00D64469" w:rsidRDefault="00D64469" w:rsidP="00122BF1"/>
        </w:tc>
      </w:tr>
    </w:tbl>
    <w:p w14:paraId="282913F8" w14:textId="77777777" w:rsidR="00D64469" w:rsidRDefault="00D64469" w:rsidP="00122BF1">
      <w:pPr>
        <w:spacing w:after="0" w:line="240" w:lineRule="auto"/>
      </w:pPr>
    </w:p>
    <w:tbl>
      <w:tblPr>
        <w:tblStyle w:val="TableGrid"/>
        <w:tblW w:w="0" w:type="auto"/>
        <w:tblLook w:val="04A0" w:firstRow="1" w:lastRow="0" w:firstColumn="1" w:lastColumn="0" w:noHBand="0" w:noVBand="1"/>
        <w:tblCaption w:val="Strategy 1.3: Detailed Year 1 plan"/>
        <w:tblDescription w:val="Systematically collect, analyze, interpret, and disseminate data to characterize trends and implement public health interventions for chronic hepatitis B and perinatal hepatitis C (required for application, but contingent on funding) "/>
      </w:tblPr>
      <w:tblGrid>
        <w:gridCol w:w="13670"/>
      </w:tblGrid>
      <w:tr w:rsidR="00D64469" w14:paraId="2DF244A1" w14:textId="77777777" w:rsidTr="00890930">
        <w:tc>
          <w:tcPr>
            <w:tcW w:w="13670" w:type="dxa"/>
            <w:noWrap/>
          </w:tcPr>
          <w:p w14:paraId="4AEFDCFF" w14:textId="77777777" w:rsidR="00D64469" w:rsidRDefault="00D64469" w:rsidP="00122BF1">
            <w:r w:rsidRPr="00384318">
              <w:rPr>
                <w:b/>
                <w:bCs/>
              </w:rPr>
              <w:t>Detailed Year 1 plan</w:t>
            </w:r>
            <w:r>
              <w:rPr>
                <w:b/>
                <w:bCs/>
              </w:rPr>
              <w:t xml:space="preserve"> </w:t>
            </w:r>
            <w:r>
              <w:t>(100 words):</w:t>
            </w:r>
          </w:p>
          <w:p w14:paraId="6EFDFC8C" w14:textId="77777777" w:rsidR="00D64469" w:rsidRDefault="00D64469" w:rsidP="00122BF1"/>
          <w:p w14:paraId="20CE85DD" w14:textId="77777777" w:rsidR="00D64469" w:rsidRDefault="00D64469" w:rsidP="00122BF1"/>
        </w:tc>
      </w:tr>
    </w:tbl>
    <w:p w14:paraId="423FAA0E" w14:textId="77777777" w:rsidR="00D64469" w:rsidRDefault="00D64469" w:rsidP="00122BF1">
      <w:pPr>
        <w:pStyle w:val="Heading3"/>
        <w:spacing w:before="0"/>
      </w:pPr>
    </w:p>
    <w:p w14:paraId="6CEE814B" w14:textId="090225F8" w:rsidR="00AA6AE0" w:rsidRDefault="00AA6AE0" w:rsidP="00122BF1">
      <w:pPr>
        <w:pStyle w:val="Heading3"/>
        <w:spacing w:before="0"/>
      </w:pPr>
      <w:r>
        <w:t xml:space="preserve">Outcome </w:t>
      </w:r>
      <w:r w:rsidR="008A21C5">
        <w:t>1.3.</w:t>
      </w:r>
      <w:r>
        <w:t xml:space="preserve">1: </w:t>
      </w:r>
      <w:r w:rsidR="00383946">
        <w:t>Improved monitoring of burden of disease and trends in perinatal hepatitis C</w:t>
      </w:r>
    </w:p>
    <w:tbl>
      <w:tblPr>
        <w:tblStyle w:val="TableGrid"/>
        <w:tblW w:w="13670" w:type="dxa"/>
        <w:tblLook w:val="04A0" w:firstRow="1" w:lastRow="0" w:firstColumn="1" w:lastColumn="0" w:noHBand="0" w:noVBand="1"/>
        <w:tblCaption w:val="Outcome 1.3.1"/>
        <w:tblDescription w:val="Improved monitoring of burden of disease and trends in perinatal hepatitis C. Three data rows with two blank columns to the right."/>
      </w:tblPr>
      <w:tblGrid>
        <w:gridCol w:w="5305"/>
        <w:gridCol w:w="5454"/>
        <w:gridCol w:w="1535"/>
        <w:gridCol w:w="1376"/>
      </w:tblGrid>
      <w:tr w:rsidR="00D67624" w14:paraId="0CCD4565" w14:textId="77777777" w:rsidTr="57B41882">
        <w:tc>
          <w:tcPr>
            <w:tcW w:w="5385" w:type="dxa"/>
          </w:tcPr>
          <w:p w14:paraId="14E310C9" w14:textId="77777777" w:rsidR="00AA6AE0" w:rsidRPr="000E0E5D" w:rsidRDefault="00AA6AE0" w:rsidP="00122BF1">
            <w:pPr>
              <w:rPr>
                <w:b/>
                <w:bCs/>
              </w:rPr>
            </w:pPr>
            <w:r w:rsidRPr="000E0E5D">
              <w:rPr>
                <w:b/>
                <w:bCs/>
              </w:rPr>
              <w:t>Year 1 Activities</w:t>
            </w:r>
          </w:p>
        </w:tc>
        <w:tc>
          <w:tcPr>
            <w:tcW w:w="5535" w:type="dxa"/>
          </w:tcPr>
          <w:p w14:paraId="6607B048" w14:textId="2AFD1251" w:rsidR="00AA6AE0" w:rsidRPr="000E0E5D" w:rsidRDefault="00AA6AE0" w:rsidP="00122BF1">
            <w:pPr>
              <w:rPr>
                <w:b/>
                <w:bCs/>
              </w:rPr>
            </w:pPr>
            <w:r w:rsidRPr="000E0E5D">
              <w:rPr>
                <w:b/>
                <w:bCs/>
              </w:rPr>
              <w:t>Process Measure</w:t>
            </w:r>
            <w:r w:rsidR="2C94D40F" w:rsidRPr="000E0E5D">
              <w:rPr>
                <w:b/>
                <w:bCs/>
              </w:rPr>
              <w:t>(s)</w:t>
            </w:r>
          </w:p>
        </w:tc>
        <w:tc>
          <w:tcPr>
            <w:tcW w:w="1459" w:type="dxa"/>
          </w:tcPr>
          <w:p w14:paraId="50029C03" w14:textId="77777777" w:rsidR="00AA6AE0" w:rsidRPr="000E0E5D" w:rsidRDefault="00AA6AE0" w:rsidP="00122BF1">
            <w:pPr>
              <w:rPr>
                <w:b/>
                <w:bCs/>
              </w:rPr>
            </w:pPr>
            <w:r w:rsidRPr="000E0E5D">
              <w:rPr>
                <w:b/>
                <w:bCs/>
              </w:rPr>
              <w:t>Responsible Party/Person</w:t>
            </w:r>
          </w:p>
        </w:tc>
        <w:tc>
          <w:tcPr>
            <w:tcW w:w="1291" w:type="dxa"/>
          </w:tcPr>
          <w:p w14:paraId="0F280179" w14:textId="77777777" w:rsidR="00AA6AE0" w:rsidRPr="000E0E5D" w:rsidRDefault="00AA6AE0" w:rsidP="00122BF1">
            <w:pPr>
              <w:rPr>
                <w:b/>
                <w:bCs/>
              </w:rPr>
            </w:pPr>
            <w:r w:rsidRPr="000E0E5D">
              <w:rPr>
                <w:b/>
                <w:bCs/>
              </w:rPr>
              <w:t>Completion Date</w:t>
            </w:r>
          </w:p>
        </w:tc>
      </w:tr>
      <w:tr w:rsidR="00D67624" w14:paraId="6BDF4918" w14:textId="77777777" w:rsidTr="57B41882">
        <w:tc>
          <w:tcPr>
            <w:tcW w:w="5385" w:type="dxa"/>
          </w:tcPr>
          <w:p w14:paraId="39EBDD47" w14:textId="148C070A" w:rsidR="00AA6AE0" w:rsidRDefault="00AA6AE0" w:rsidP="00122BF1">
            <w:r>
              <w:t>1.</w:t>
            </w:r>
            <w:r w:rsidR="00C32D4F">
              <w:t xml:space="preserve"> Develop and implement a plan to improve completeness of case reports for perinatal hepatitis C.</w:t>
            </w:r>
          </w:p>
        </w:tc>
        <w:tc>
          <w:tcPr>
            <w:tcW w:w="5535" w:type="dxa"/>
          </w:tcPr>
          <w:p w14:paraId="2894BF5E" w14:textId="6A9DC670" w:rsidR="00EC4AB3" w:rsidRDefault="00D12714" w:rsidP="00122BF1">
            <w:r w:rsidRPr="00610357">
              <w:rPr>
                <w:color w:val="385623" w:themeColor="accent6" w:themeShade="80"/>
              </w:rPr>
              <w:t>(example: not required) Documented plan and implemented steps __, ___, and ___, to improve perinatal HCV case report completeness</w:t>
            </w:r>
            <w:r w:rsidR="002003B0" w:rsidRPr="00610357">
              <w:rPr>
                <w:color w:val="385623" w:themeColor="accent6" w:themeShade="80"/>
              </w:rPr>
              <w:t>.</w:t>
            </w:r>
          </w:p>
        </w:tc>
        <w:tc>
          <w:tcPr>
            <w:tcW w:w="1459" w:type="dxa"/>
          </w:tcPr>
          <w:p w14:paraId="6D7E3311" w14:textId="77777777" w:rsidR="00AA6AE0" w:rsidRDefault="00AA6AE0" w:rsidP="00122BF1"/>
        </w:tc>
        <w:tc>
          <w:tcPr>
            <w:tcW w:w="1291" w:type="dxa"/>
          </w:tcPr>
          <w:p w14:paraId="1D79FCAD" w14:textId="77777777" w:rsidR="00AA6AE0" w:rsidRDefault="00AA6AE0" w:rsidP="00122BF1"/>
        </w:tc>
      </w:tr>
      <w:tr w:rsidR="00D67624" w14:paraId="61325836" w14:textId="77777777" w:rsidTr="57B41882">
        <w:tc>
          <w:tcPr>
            <w:tcW w:w="5385" w:type="dxa"/>
          </w:tcPr>
          <w:p w14:paraId="70040C29" w14:textId="49E7AFB6" w:rsidR="00AA6AE0" w:rsidRDefault="00AA6AE0" w:rsidP="00122BF1">
            <w:r>
              <w:t>2.</w:t>
            </w:r>
            <w:r w:rsidR="00C32D4F">
              <w:t xml:space="preserve"> Follow-up with </w:t>
            </w:r>
            <w:r w:rsidR="00475FA2">
              <w:t>health</w:t>
            </w:r>
            <w:r w:rsidR="002003B0">
              <w:t>-</w:t>
            </w:r>
            <w:r w:rsidR="00475FA2">
              <w:t xml:space="preserve">care providers and/or case patients to improve completeness of demographic information for all cases </w:t>
            </w:r>
            <w:r w:rsidR="6802D1A6">
              <w:t>of</w:t>
            </w:r>
            <w:r w:rsidR="00475FA2">
              <w:t xml:space="preserve"> perinatal hepatitis C.</w:t>
            </w:r>
          </w:p>
        </w:tc>
        <w:tc>
          <w:tcPr>
            <w:tcW w:w="5535" w:type="dxa"/>
          </w:tcPr>
          <w:p w14:paraId="23FC13B3" w14:textId="5C2CE4DD" w:rsidR="00AA6AE0" w:rsidRDefault="005A2A84" w:rsidP="00122BF1">
            <w:r>
              <w:t xml:space="preserve">1.3.1.a. </w:t>
            </w:r>
            <w:r w:rsidR="00E23F2A">
              <w:t xml:space="preserve">By 12/31 of each year, </w:t>
            </w:r>
            <w:r w:rsidR="00E61D91">
              <w:t xml:space="preserve">___% [Y1] (100% </w:t>
            </w:r>
            <w:r w:rsidR="002F1B2A">
              <w:t>Y3</w:t>
            </w:r>
            <w:r w:rsidR="00E61D91">
              <w:t xml:space="preserve">) known births from prior year are linked to mothers found in </w:t>
            </w:r>
            <w:r w:rsidR="002A0545">
              <w:t>viral hepatitis surveillance data base.</w:t>
            </w:r>
          </w:p>
          <w:p w14:paraId="7AABBE6B" w14:textId="0BA15F9C" w:rsidR="003321E2" w:rsidRDefault="003321E2" w:rsidP="00122BF1">
            <w:r>
              <w:lastRenderedPageBreak/>
              <w:t>1.3.1.</w:t>
            </w:r>
            <w:r w:rsidR="00235270">
              <w:t>d</w:t>
            </w:r>
            <w:r>
              <w:t xml:space="preserve">. </w:t>
            </w:r>
            <w:r w:rsidRPr="00CB0855">
              <w:t xml:space="preserve">≥ ___% [Y1] (90% </w:t>
            </w:r>
            <w:r w:rsidR="002F1B2A" w:rsidRPr="00CB0855">
              <w:t>Y</w:t>
            </w:r>
            <w:r w:rsidR="002F1B2A">
              <w:t>3</w:t>
            </w:r>
            <w:r w:rsidRPr="00CB0855">
              <w:t xml:space="preserve">) </w:t>
            </w:r>
            <w:r>
              <w:t xml:space="preserve">of </w:t>
            </w:r>
            <w:r w:rsidR="00112F97">
              <w:t xml:space="preserve">perinatal (infant) </w:t>
            </w:r>
            <w:r>
              <w:t>case report</w:t>
            </w:r>
            <w:r w:rsidR="00112F97">
              <w:t>s are linked with a maternal report.</w:t>
            </w:r>
          </w:p>
          <w:p w14:paraId="66537734" w14:textId="584CA3D2" w:rsidR="005A2A84" w:rsidRDefault="005A2A84" w:rsidP="00122BF1">
            <w:r>
              <w:t xml:space="preserve">1.3.1.c. </w:t>
            </w:r>
            <w:r w:rsidRPr="00CB0855">
              <w:t xml:space="preserve">≥ ___% [Y1] (90% </w:t>
            </w:r>
            <w:r w:rsidR="002F1B2A" w:rsidRPr="00CB0855">
              <w:t>Y</w:t>
            </w:r>
            <w:r w:rsidR="002F1B2A">
              <w:t>3</w:t>
            </w:r>
            <w:r w:rsidRPr="00CB0855">
              <w:t xml:space="preserve">) </w:t>
            </w:r>
            <w:r>
              <w:t xml:space="preserve">of case reports submitted to CDC are </w:t>
            </w:r>
            <w:r w:rsidRPr="00CB0855">
              <w:t xml:space="preserve">complete for age, gender, race/ethnicity, </w:t>
            </w:r>
            <w:r>
              <w:t xml:space="preserve">and </w:t>
            </w:r>
            <w:r w:rsidRPr="00CB0855">
              <w:t>county of residence</w:t>
            </w:r>
            <w:r w:rsidR="002003B0">
              <w:t>.</w:t>
            </w:r>
          </w:p>
        </w:tc>
        <w:tc>
          <w:tcPr>
            <w:tcW w:w="1459" w:type="dxa"/>
          </w:tcPr>
          <w:p w14:paraId="2B10FEE7" w14:textId="77777777" w:rsidR="00AA6AE0" w:rsidRDefault="00AA6AE0" w:rsidP="00122BF1"/>
        </w:tc>
        <w:tc>
          <w:tcPr>
            <w:tcW w:w="1291" w:type="dxa"/>
          </w:tcPr>
          <w:p w14:paraId="460FA4CE" w14:textId="77777777" w:rsidR="00AA6AE0" w:rsidRDefault="00AA6AE0" w:rsidP="00122BF1"/>
        </w:tc>
      </w:tr>
      <w:tr w:rsidR="006B416E" w14:paraId="60B95EC0" w14:textId="77777777" w:rsidTr="57B41882">
        <w:tc>
          <w:tcPr>
            <w:tcW w:w="5385" w:type="dxa"/>
          </w:tcPr>
          <w:p w14:paraId="7CCA583D" w14:textId="4D62BE50" w:rsidR="006B416E" w:rsidRDefault="006B416E" w:rsidP="00122BF1">
            <w:r>
              <w:t xml:space="preserve">4. Notify CDC of all </w:t>
            </w:r>
            <w:r w:rsidR="00A06D79">
              <w:t>cases of perinatal hepatitis C that meet the CSTE case definition.</w:t>
            </w:r>
            <w:r w:rsidR="00B65198">
              <w:t xml:space="preserve"> </w:t>
            </w:r>
          </w:p>
        </w:tc>
        <w:tc>
          <w:tcPr>
            <w:tcW w:w="5535" w:type="dxa"/>
          </w:tcPr>
          <w:p w14:paraId="79A80608" w14:textId="0F358CCE" w:rsidR="006B416E" w:rsidRDefault="00B7334A" w:rsidP="00122BF1">
            <w:r>
              <w:t xml:space="preserve">1.3.1.b. </w:t>
            </w:r>
            <w:r>
              <w:rPr>
                <w:rFonts w:cstheme="minorHAnsi"/>
              </w:rPr>
              <w:t>≥</w:t>
            </w:r>
            <w:r>
              <w:t xml:space="preserve"> ___% [Y1] (90% </w:t>
            </w:r>
            <w:r w:rsidR="002F1B2A">
              <w:t>Y3</w:t>
            </w:r>
            <w:r>
              <w:t>) of case reports</w:t>
            </w:r>
            <w:r w:rsidR="005A2A84">
              <w:t xml:space="preserve"> </w:t>
            </w:r>
            <w:r>
              <w:t>submitted to CDC within 90 days of case investigation start date</w:t>
            </w:r>
            <w:r w:rsidR="002003B0">
              <w:t>.</w:t>
            </w:r>
          </w:p>
        </w:tc>
        <w:tc>
          <w:tcPr>
            <w:tcW w:w="1459" w:type="dxa"/>
          </w:tcPr>
          <w:p w14:paraId="3DFC5412" w14:textId="77777777" w:rsidR="006B416E" w:rsidRDefault="006B416E" w:rsidP="00122BF1"/>
        </w:tc>
        <w:tc>
          <w:tcPr>
            <w:tcW w:w="1291" w:type="dxa"/>
          </w:tcPr>
          <w:p w14:paraId="1432176D" w14:textId="77777777" w:rsidR="006B416E" w:rsidRDefault="006B416E" w:rsidP="00122BF1"/>
        </w:tc>
      </w:tr>
    </w:tbl>
    <w:p w14:paraId="77A2AD00" w14:textId="703D49DE" w:rsidR="00383946" w:rsidRDefault="00C32D4F" w:rsidP="00122BF1">
      <w:pPr>
        <w:spacing w:after="0" w:line="240" w:lineRule="auto"/>
      </w:pPr>
      <w:r>
        <w:t xml:space="preserve"> </w:t>
      </w:r>
    </w:p>
    <w:sectPr w:rsidR="00383946" w:rsidSect="00A74A85">
      <w:headerReference w:type="even" r:id="rId10"/>
      <w:headerReference w:type="default" r:id="rId11"/>
      <w:footerReference w:type="even" r:id="rId12"/>
      <w:footerReference w:type="default" r:id="rId13"/>
      <w:headerReference w:type="first" r:id="rId14"/>
      <w:footerReference w:type="first" r:id="rId15"/>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79D27" w14:textId="77777777" w:rsidR="00F113DD" w:rsidRDefault="00F113DD">
      <w:pPr>
        <w:spacing w:after="0" w:line="240" w:lineRule="auto"/>
      </w:pPr>
      <w:r>
        <w:separator/>
      </w:r>
    </w:p>
  </w:endnote>
  <w:endnote w:type="continuationSeparator" w:id="0">
    <w:p w14:paraId="204D5A13" w14:textId="77777777" w:rsidR="00F113DD" w:rsidRDefault="00F1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9B63" w14:textId="77777777" w:rsidR="00345C9A" w:rsidRDefault="00345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733065"/>
      <w:docPartObj>
        <w:docPartGallery w:val="Page Numbers (Bottom of Page)"/>
        <w:docPartUnique/>
      </w:docPartObj>
    </w:sdtPr>
    <w:sdtEndPr/>
    <w:sdtContent>
      <w:sdt>
        <w:sdtPr>
          <w:id w:val="-1769616900"/>
          <w:docPartObj>
            <w:docPartGallery w:val="Page Numbers (Top of Page)"/>
            <w:docPartUnique/>
          </w:docPartObj>
        </w:sdtPr>
        <w:sdtEndPr/>
        <w:sdtContent>
          <w:p w14:paraId="056D8E90" w14:textId="26C0C080" w:rsidR="00345C9A" w:rsidRDefault="00345C9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A24B54C" w14:textId="32575777" w:rsidR="01A89038" w:rsidRDefault="01A89038" w:rsidP="00062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E57E" w14:textId="77777777" w:rsidR="00345C9A" w:rsidRDefault="00345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93B0A" w14:textId="77777777" w:rsidR="00F113DD" w:rsidRDefault="00F113DD">
      <w:pPr>
        <w:spacing w:after="0" w:line="240" w:lineRule="auto"/>
      </w:pPr>
      <w:r>
        <w:separator/>
      </w:r>
    </w:p>
  </w:footnote>
  <w:footnote w:type="continuationSeparator" w:id="0">
    <w:p w14:paraId="19C4A4E3" w14:textId="77777777" w:rsidR="00F113DD" w:rsidRDefault="00F11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D03A" w14:textId="77777777" w:rsidR="00345C9A" w:rsidRDefault="00345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60"/>
      <w:gridCol w:w="4560"/>
      <w:gridCol w:w="4560"/>
    </w:tblGrid>
    <w:tr w:rsidR="01A89038" w14:paraId="36EA25C9" w14:textId="77777777" w:rsidTr="000626E8">
      <w:tc>
        <w:tcPr>
          <w:tcW w:w="4560" w:type="dxa"/>
        </w:tcPr>
        <w:p w14:paraId="019BAE57" w14:textId="637741D1" w:rsidR="01A89038" w:rsidRDefault="01A89038" w:rsidP="000626E8">
          <w:pPr>
            <w:pStyle w:val="Header"/>
            <w:ind w:left="-115"/>
          </w:pPr>
        </w:p>
      </w:tc>
      <w:tc>
        <w:tcPr>
          <w:tcW w:w="4560" w:type="dxa"/>
        </w:tcPr>
        <w:p w14:paraId="2CC40128" w14:textId="4DD88FA4" w:rsidR="01A89038" w:rsidRDefault="01A89038" w:rsidP="000626E8">
          <w:pPr>
            <w:pStyle w:val="Header"/>
            <w:jc w:val="center"/>
          </w:pPr>
        </w:p>
      </w:tc>
      <w:tc>
        <w:tcPr>
          <w:tcW w:w="4560" w:type="dxa"/>
        </w:tcPr>
        <w:p w14:paraId="13FE17AC" w14:textId="0C216590" w:rsidR="01A89038" w:rsidRDefault="01A89038" w:rsidP="000626E8">
          <w:pPr>
            <w:pStyle w:val="Header"/>
            <w:ind w:right="-115"/>
            <w:jc w:val="right"/>
          </w:pPr>
        </w:p>
      </w:tc>
    </w:tr>
  </w:tbl>
  <w:p w14:paraId="5710BCE8" w14:textId="262E0A8F" w:rsidR="01A89038" w:rsidRDefault="01A89038" w:rsidP="000626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5E06" w14:textId="77777777" w:rsidR="00345C9A" w:rsidRDefault="00345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06BE"/>
    <w:multiLevelType w:val="hybridMultilevel"/>
    <w:tmpl w:val="FFFFFFFF"/>
    <w:lvl w:ilvl="0" w:tplc="940C0042">
      <w:start w:val="1"/>
      <w:numFmt w:val="bullet"/>
      <w:lvlText w:val=""/>
      <w:lvlJc w:val="left"/>
      <w:pPr>
        <w:ind w:left="720" w:hanging="360"/>
      </w:pPr>
      <w:rPr>
        <w:rFonts w:ascii="Symbol" w:hAnsi="Symbol" w:hint="default"/>
      </w:rPr>
    </w:lvl>
    <w:lvl w:ilvl="1" w:tplc="567889DA">
      <w:start w:val="1"/>
      <w:numFmt w:val="bullet"/>
      <w:lvlText w:val="o"/>
      <w:lvlJc w:val="left"/>
      <w:pPr>
        <w:ind w:left="1440" w:hanging="360"/>
      </w:pPr>
      <w:rPr>
        <w:rFonts w:ascii="Courier New" w:hAnsi="Courier New" w:hint="default"/>
      </w:rPr>
    </w:lvl>
    <w:lvl w:ilvl="2" w:tplc="DC6CC9B4">
      <w:start w:val="1"/>
      <w:numFmt w:val="bullet"/>
      <w:lvlText w:val=""/>
      <w:lvlJc w:val="left"/>
      <w:pPr>
        <w:ind w:left="2160" w:hanging="360"/>
      </w:pPr>
      <w:rPr>
        <w:rFonts w:ascii="Wingdings" w:hAnsi="Wingdings" w:hint="default"/>
      </w:rPr>
    </w:lvl>
    <w:lvl w:ilvl="3" w:tplc="AE0C82C8">
      <w:start w:val="1"/>
      <w:numFmt w:val="bullet"/>
      <w:lvlText w:val=""/>
      <w:lvlJc w:val="left"/>
      <w:pPr>
        <w:ind w:left="2880" w:hanging="360"/>
      </w:pPr>
      <w:rPr>
        <w:rFonts w:ascii="Symbol" w:hAnsi="Symbol" w:hint="default"/>
      </w:rPr>
    </w:lvl>
    <w:lvl w:ilvl="4" w:tplc="C3447BD0">
      <w:start w:val="1"/>
      <w:numFmt w:val="bullet"/>
      <w:lvlText w:val="o"/>
      <w:lvlJc w:val="left"/>
      <w:pPr>
        <w:ind w:left="3600" w:hanging="360"/>
      </w:pPr>
      <w:rPr>
        <w:rFonts w:ascii="Courier New" w:hAnsi="Courier New" w:hint="default"/>
      </w:rPr>
    </w:lvl>
    <w:lvl w:ilvl="5" w:tplc="755473DC">
      <w:start w:val="1"/>
      <w:numFmt w:val="bullet"/>
      <w:lvlText w:val=""/>
      <w:lvlJc w:val="left"/>
      <w:pPr>
        <w:ind w:left="4320" w:hanging="360"/>
      </w:pPr>
      <w:rPr>
        <w:rFonts w:ascii="Wingdings" w:hAnsi="Wingdings" w:hint="default"/>
      </w:rPr>
    </w:lvl>
    <w:lvl w:ilvl="6" w:tplc="329E3BEC">
      <w:start w:val="1"/>
      <w:numFmt w:val="bullet"/>
      <w:lvlText w:val=""/>
      <w:lvlJc w:val="left"/>
      <w:pPr>
        <w:ind w:left="5040" w:hanging="360"/>
      </w:pPr>
      <w:rPr>
        <w:rFonts w:ascii="Symbol" w:hAnsi="Symbol" w:hint="default"/>
      </w:rPr>
    </w:lvl>
    <w:lvl w:ilvl="7" w:tplc="5508856E">
      <w:start w:val="1"/>
      <w:numFmt w:val="bullet"/>
      <w:lvlText w:val="o"/>
      <w:lvlJc w:val="left"/>
      <w:pPr>
        <w:ind w:left="5760" w:hanging="360"/>
      </w:pPr>
      <w:rPr>
        <w:rFonts w:ascii="Courier New" w:hAnsi="Courier New" w:hint="default"/>
      </w:rPr>
    </w:lvl>
    <w:lvl w:ilvl="8" w:tplc="55DE7EA2">
      <w:start w:val="1"/>
      <w:numFmt w:val="bullet"/>
      <w:lvlText w:val=""/>
      <w:lvlJc w:val="left"/>
      <w:pPr>
        <w:ind w:left="6480" w:hanging="360"/>
      </w:pPr>
      <w:rPr>
        <w:rFonts w:ascii="Wingdings" w:hAnsi="Wingdings" w:hint="default"/>
      </w:rPr>
    </w:lvl>
  </w:abstractNum>
  <w:abstractNum w:abstractNumId="1" w15:restartNumberingAfterBreak="0">
    <w:nsid w:val="1317010B"/>
    <w:multiLevelType w:val="multilevel"/>
    <w:tmpl w:val="AF90C0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6C777F"/>
    <w:multiLevelType w:val="hybridMultilevel"/>
    <w:tmpl w:val="FFFFFFFF"/>
    <w:lvl w:ilvl="0" w:tplc="25BE50B6">
      <w:start w:val="1"/>
      <w:numFmt w:val="bullet"/>
      <w:lvlText w:val=""/>
      <w:lvlJc w:val="left"/>
      <w:pPr>
        <w:ind w:left="720" w:hanging="360"/>
      </w:pPr>
      <w:rPr>
        <w:rFonts w:ascii="Symbol" w:hAnsi="Symbol" w:hint="default"/>
      </w:rPr>
    </w:lvl>
    <w:lvl w:ilvl="1" w:tplc="C762A8EA">
      <w:start w:val="1"/>
      <w:numFmt w:val="bullet"/>
      <w:lvlText w:val="o"/>
      <w:lvlJc w:val="left"/>
      <w:pPr>
        <w:ind w:left="1440" w:hanging="360"/>
      </w:pPr>
      <w:rPr>
        <w:rFonts w:ascii="Courier New" w:hAnsi="Courier New" w:hint="default"/>
      </w:rPr>
    </w:lvl>
    <w:lvl w:ilvl="2" w:tplc="8E18C902">
      <w:start w:val="1"/>
      <w:numFmt w:val="bullet"/>
      <w:lvlText w:val=""/>
      <w:lvlJc w:val="left"/>
      <w:pPr>
        <w:ind w:left="2160" w:hanging="360"/>
      </w:pPr>
      <w:rPr>
        <w:rFonts w:ascii="Wingdings" w:hAnsi="Wingdings" w:hint="default"/>
      </w:rPr>
    </w:lvl>
    <w:lvl w:ilvl="3" w:tplc="D54A1DB6">
      <w:start w:val="1"/>
      <w:numFmt w:val="bullet"/>
      <w:lvlText w:val=""/>
      <w:lvlJc w:val="left"/>
      <w:pPr>
        <w:ind w:left="2880" w:hanging="360"/>
      </w:pPr>
      <w:rPr>
        <w:rFonts w:ascii="Symbol" w:hAnsi="Symbol" w:hint="default"/>
      </w:rPr>
    </w:lvl>
    <w:lvl w:ilvl="4" w:tplc="16F03EDE">
      <w:start w:val="1"/>
      <w:numFmt w:val="bullet"/>
      <w:lvlText w:val="o"/>
      <w:lvlJc w:val="left"/>
      <w:pPr>
        <w:ind w:left="3600" w:hanging="360"/>
      </w:pPr>
      <w:rPr>
        <w:rFonts w:ascii="Courier New" w:hAnsi="Courier New" w:hint="default"/>
      </w:rPr>
    </w:lvl>
    <w:lvl w:ilvl="5" w:tplc="3986124E">
      <w:start w:val="1"/>
      <w:numFmt w:val="bullet"/>
      <w:lvlText w:val=""/>
      <w:lvlJc w:val="left"/>
      <w:pPr>
        <w:ind w:left="4320" w:hanging="360"/>
      </w:pPr>
      <w:rPr>
        <w:rFonts w:ascii="Wingdings" w:hAnsi="Wingdings" w:hint="default"/>
      </w:rPr>
    </w:lvl>
    <w:lvl w:ilvl="6" w:tplc="84A0636C">
      <w:start w:val="1"/>
      <w:numFmt w:val="bullet"/>
      <w:lvlText w:val=""/>
      <w:lvlJc w:val="left"/>
      <w:pPr>
        <w:ind w:left="5040" w:hanging="360"/>
      </w:pPr>
      <w:rPr>
        <w:rFonts w:ascii="Symbol" w:hAnsi="Symbol" w:hint="default"/>
      </w:rPr>
    </w:lvl>
    <w:lvl w:ilvl="7" w:tplc="9D1A8A8E">
      <w:start w:val="1"/>
      <w:numFmt w:val="bullet"/>
      <w:lvlText w:val="o"/>
      <w:lvlJc w:val="left"/>
      <w:pPr>
        <w:ind w:left="5760" w:hanging="360"/>
      </w:pPr>
      <w:rPr>
        <w:rFonts w:ascii="Courier New" w:hAnsi="Courier New" w:hint="default"/>
      </w:rPr>
    </w:lvl>
    <w:lvl w:ilvl="8" w:tplc="FB1E691E">
      <w:start w:val="1"/>
      <w:numFmt w:val="bullet"/>
      <w:lvlText w:val=""/>
      <w:lvlJc w:val="left"/>
      <w:pPr>
        <w:ind w:left="6480" w:hanging="360"/>
      </w:pPr>
      <w:rPr>
        <w:rFonts w:ascii="Wingdings" w:hAnsi="Wingdings" w:hint="default"/>
      </w:rPr>
    </w:lvl>
  </w:abstractNum>
  <w:abstractNum w:abstractNumId="3" w15:restartNumberingAfterBreak="0">
    <w:nsid w:val="26624051"/>
    <w:multiLevelType w:val="hybridMultilevel"/>
    <w:tmpl w:val="88C2F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CE76AB"/>
    <w:multiLevelType w:val="hybridMultilevel"/>
    <w:tmpl w:val="A4002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59265692">
    <w:abstractNumId w:val="1"/>
  </w:num>
  <w:num w:numId="2" w16cid:durableId="289089549">
    <w:abstractNumId w:val="0"/>
  </w:num>
  <w:num w:numId="3" w16cid:durableId="535776129">
    <w:abstractNumId w:val="2"/>
  </w:num>
  <w:num w:numId="4" w16cid:durableId="297800885">
    <w:abstractNumId w:val="4"/>
  </w:num>
  <w:num w:numId="5" w16cid:durableId="1510634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46"/>
    <w:rsid w:val="0000028E"/>
    <w:rsid w:val="000070A5"/>
    <w:rsid w:val="0001104B"/>
    <w:rsid w:val="00014B38"/>
    <w:rsid w:val="00023EC5"/>
    <w:rsid w:val="00033B7E"/>
    <w:rsid w:val="00033CA2"/>
    <w:rsid w:val="000442D7"/>
    <w:rsid w:val="00051702"/>
    <w:rsid w:val="00055088"/>
    <w:rsid w:val="000626E8"/>
    <w:rsid w:val="0008043C"/>
    <w:rsid w:val="000832B7"/>
    <w:rsid w:val="00085C90"/>
    <w:rsid w:val="000876D4"/>
    <w:rsid w:val="000A3E9E"/>
    <w:rsid w:val="000E0E5D"/>
    <w:rsid w:val="000E3634"/>
    <w:rsid w:val="000F0B5B"/>
    <w:rsid w:val="001011AB"/>
    <w:rsid w:val="00107E3B"/>
    <w:rsid w:val="00112F97"/>
    <w:rsid w:val="0011338A"/>
    <w:rsid w:val="0011624E"/>
    <w:rsid w:val="00117B0D"/>
    <w:rsid w:val="00120CA1"/>
    <w:rsid w:val="00122BF1"/>
    <w:rsid w:val="0012522B"/>
    <w:rsid w:val="001259EF"/>
    <w:rsid w:val="00143D24"/>
    <w:rsid w:val="00150880"/>
    <w:rsid w:val="00154DC7"/>
    <w:rsid w:val="00160FC5"/>
    <w:rsid w:val="00165B31"/>
    <w:rsid w:val="001A0210"/>
    <w:rsid w:val="001C23F6"/>
    <w:rsid w:val="001D31B0"/>
    <w:rsid w:val="001D5BA8"/>
    <w:rsid w:val="001D6D13"/>
    <w:rsid w:val="001E4BA3"/>
    <w:rsid w:val="001E6051"/>
    <w:rsid w:val="002003B0"/>
    <w:rsid w:val="00202C2A"/>
    <w:rsid w:val="00206CFA"/>
    <w:rsid w:val="002100A5"/>
    <w:rsid w:val="00221BFB"/>
    <w:rsid w:val="0022311A"/>
    <w:rsid w:val="00235270"/>
    <w:rsid w:val="002556C7"/>
    <w:rsid w:val="002579E8"/>
    <w:rsid w:val="002617E3"/>
    <w:rsid w:val="00263CAA"/>
    <w:rsid w:val="00276D3D"/>
    <w:rsid w:val="0028075F"/>
    <w:rsid w:val="00290676"/>
    <w:rsid w:val="002A0545"/>
    <w:rsid w:val="002B026A"/>
    <w:rsid w:val="002B7EEC"/>
    <w:rsid w:val="002C2A79"/>
    <w:rsid w:val="002D2480"/>
    <w:rsid w:val="002F0418"/>
    <w:rsid w:val="002F1B2A"/>
    <w:rsid w:val="003002D9"/>
    <w:rsid w:val="00304243"/>
    <w:rsid w:val="00321307"/>
    <w:rsid w:val="003321E2"/>
    <w:rsid w:val="00334BF6"/>
    <w:rsid w:val="003373B9"/>
    <w:rsid w:val="00341E6A"/>
    <w:rsid w:val="00345AFD"/>
    <w:rsid w:val="00345C9A"/>
    <w:rsid w:val="003468B6"/>
    <w:rsid w:val="00347B68"/>
    <w:rsid w:val="00351100"/>
    <w:rsid w:val="00356E51"/>
    <w:rsid w:val="00365537"/>
    <w:rsid w:val="003755E3"/>
    <w:rsid w:val="00383946"/>
    <w:rsid w:val="00384318"/>
    <w:rsid w:val="00393E49"/>
    <w:rsid w:val="003C6D5F"/>
    <w:rsid w:val="003E435A"/>
    <w:rsid w:val="003F05DB"/>
    <w:rsid w:val="003F7DD3"/>
    <w:rsid w:val="004059F0"/>
    <w:rsid w:val="004135B1"/>
    <w:rsid w:val="00413941"/>
    <w:rsid w:val="00421636"/>
    <w:rsid w:val="00423458"/>
    <w:rsid w:val="00430B27"/>
    <w:rsid w:val="00450437"/>
    <w:rsid w:val="00453B40"/>
    <w:rsid w:val="004550C9"/>
    <w:rsid w:val="00463779"/>
    <w:rsid w:val="00464DA9"/>
    <w:rsid w:val="00465FA0"/>
    <w:rsid w:val="004704FA"/>
    <w:rsid w:val="004705FB"/>
    <w:rsid w:val="00472300"/>
    <w:rsid w:val="00473928"/>
    <w:rsid w:val="00475FA2"/>
    <w:rsid w:val="00477849"/>
    <w:rsid w:val="00486346"/>
    <w:rsid w:val="004932A2"/>
    <w:rsid w:val="00495E43"/>
    <w:rsid w:val="00496B9A"/>
    <w:rsid w:val="004A10D0"/>
    <w:rsid w:val="004A1882"/>
    <w:rsid w:val="004B32FD"/>
    <w:rsid w:val="004B6799"/>
    <w:rsid w:val="004C2468"/>
    <w:rsid w:val="004D64E8"/>
    <w:rsid w:val="004E0644"/>
    <w:rsid w:val="00502145"/>
    <w:rsid w:val="0050308B"/>
    <w:rsid w:val="005033A2"/>
    <w:rsid w:val="00504C19"/>
    <w:rsid w:val="00510244"/>
    <w:rsid w:val="0051292C"/>
    <w:rsid w:val="0052196B"/>
    <w:rsid w:val="005251FE"/>
    <w:rsid w:val="00525266"/>
    <w:rsid w:val="00546102"/>
    <w:rsid w:val="005602F6"/>
    <w:rsid w:val="00564771"/>
    <w:rsid w:val="005649F1"/>
    <w:rsid w:val="0057737C"/>
    <w:rsid w:val="005813DD"/>
    <w:rsid w:val="00583F8A"/>
    <w:rsid w:val="0058777C"/>
    <w:rsid w:val="005965B2"/>
    <w:rsid w:val="00596F00"/>
    <w:rsid w:val="005A2A84"/>
    <w:rsid w:val="005A774B"/>
    <w:rsid w:val="005B0C38"/>
    <w:rsid w:val="005C1775"/>
    <w:rsid w:val="005DEEA1"/>
    <w:rsid w:val="005E31E1"/>
    <w:rsid w:val="005F7FFB"/>
    <w:rsid w:val="00603AED"/>
    <w:rsid w:val="006061DB"/>
    <w:rsid w:val="00610357"/>
    <w:rsid w:val="006242C2"/>
    <w:rsid w:val="00624B2A"/>
    <w:rsid w:val="006304ED"/>
    <w:rsid w:val="006355DF"/>
    <w:rsid w:val="00635D96"/>
    <w:rsid w:val="0065756A"/>
    <w:rsid w:val="00670844"/>
    <w:rsid w:val="00685C36"/>
    <w:rsid w:val="00687BEE"/>
    <w:rsid w:val="006A4606"/>
    <w:rsid w:val="006B416E"/>
    <w:rsid w:val="006B743A"/>
    <w:rsid w:val="006B7A1D"/>
    <w:rsid w:val="006F275D"/>
    <w:rsid w:val="006F7331"/>
    <w:rsid w:val="00701448"/>
    <w:rsid w:val="00704C85"/>
    <w:rsid w:val="00705B62"/>
    <w:rsid w:val="0071342E"/>
    <w:rsid w:val="007210FD"/>
    <w:rsid w:val="0072161D"/>
    <w:rsid w:val="007429FB"/>
    <w:rsid w:val="00754957"/>
    <w:rsid w:val="00756280"/>
    <w:rsid w:val="00762556"/>
    <w:rsid w:val="00762800"/>
    <w:rsid w:val="00764A11"/>
    <w:rsid w:val="00794D70"/>
    <w:rsid w:val="007A2B5E"/>
    <w:rsid w:val="007A3C3E"/>
    <w:rsid w:val="007B2022"/>
    <w:rsid w:val="007C4518"/>
    <w:rsid w:val="007D4BAF"/>
    <w:rsid w:val="007D7C50"/>
    <w:rsid w:val="007E4868"/>
    <w:rsid w:val="007F1D70"/>
    <w:rsid w:val="007F3408"/>
    <w:rsid w:val="007F5FD2"/>
    <w:rsid w:val="007F68F6"/>
    <w:rsid w:val="00800012"/>
    <w:rsid w:val="008313E8"/>
    <w:rsid w:val="00847CA1"/>
    <w:rsid w:val="008509F5"/>
    <w:rsid w:val="0086235E"/>
    <w:rsid w:val="00863152"/>
    <w:rsid w:val="0088188D"/>
    <w:rsid w:val="008827EA"/>
    <w:rsid w:val="008831BA"/>
    <w:rsid w:val="00887574"/>
    <w:rsid w:val="00890930"/>
    <w:rsid w:val="00891380"/>
    <w:rsid w:val="00892F05"/>
    <w:rsid w:val="008A0C63"/>
    <w:rsid w:val="008A21C5"/>
    <w:rsid w:val="008B02FE"/>
    <w:rsid w:val="008B0C39"/>
    <w:rsid w:val="008B4414"/>
    <w:rsid w:val="008E1EC2"/>
    <w:rsid w:val="008E39F9"/>
    <w:rsid w:val="008F1BE4"/>
    <w:rsid w:val="00903485"/>
    <w:rsid w:val="009034D8"/>
    <w:rsid w:val="00905715"/>
    <w:rsid w:val="00923D75"/>
    <w:rsid w:val="0092749D"/>
    <w:rsid w:val="00945824"/>
    <w:rsid w:val="009546E4"/>
    <w:rsid w:val="0097172C"/>
    <w:rsid w:val="00972C0D"/>
    <w:rsid w:val="00995131"/>
    <w:rsid w:val="00995EDF"/>
    <w:rsid w:val="009A452F"/>
    <w:rsid w:val="009A52D6"/>
    <w:rsid w:val="009C6E3C"/>
    <w:rsid w:val="009D21B6"/>
    <w:rsid w:val="009D377E"/>
    <w:rsid w:val="009D7AE2"/>
    <w:rsid w:val="009E4995"/>
    <w:rsid w:val="009F20CF"/>
    <w:rsid w:val="00A01EFC"/>
    <w:rsid w:val="00A024B5"/>
    <w:rsid w:val="00A06C4A"/>
    <w:rsid w:val="00A06D79"/>
    <w:rsid w:val="00A24FA9"/>
    <w:rsid w:val="00A335F2"/>
    <w:rsid w:val="00A40800"/>
    <w:rsid w:val="00A41406"/>
    <w:rsid w:val="00A46444"/>
    <w:rsid w:val="00A50646"/>
    <w:rsid w:val="00A73678"/>
    <w:rsid w:val="00A74A85"/>
    <w:rsid w:val="00A854CF"/>
    <w:rsid w:val="00A9073B"/>
    <w:rsid w:val="00AA6AE0"/>
    <w:rsid w:val="00AA7360"/>
    <w:rsid w:val="00AD27DE"/>
    <w:rsid w:val="00AD6288"/>
    <w:rsid w:val="00B161EA"/>
    <w:rsid w:val="00B16AD6"/>
    <w:rsid w:val="00B26BEF"/>
    <w:rsid w:val="00B30B57"/>
    <w:rsid w:val="00B40FA1"/>
    <w:rsid w:val="00B438F3"/>
    <w:rsid w:val="00B4679E"/>
    <w:rsid w:val="00B556C2"/>
    <w:rsid w:val="00B60C57"/>
    <w:rsid w:val="00B65198"/>
    <w:rsid w:val="00B7334A"/>
    <w:rsid w:val="00B90944"/>
    <w:rsid w:val="00BA3F14"/>
    <w:rsid w:val="00BA4F7E"/>
    <w:rsid w:val="00BB52E6"/>
    <w:rsid w:val="00BE64E0"/>
    <w:rsid w:val="00BF6147"/>
    <w:rsid w:val="00BF62F7"/>
    <w:rsid w:val="00C10BE9"/>
    <w:rsid w:val="00C1278E"/>
    <w:rsid w:val="00C17142"/>
    <w:rsid w:val="00C227BC"/>
    <w:rsid w:val="00C326F0"/>
    <w:rsid w:val="00C32AD2"/>
    <w:rsid w:val="00C32D4F"/>
    <w:rsid w:val="00C346D3"/>
    <w:rsid w:val="00C36291"/>
    <w:rsid w:val="00C7659D"/>
    <w:rsid w:val="00C965D8"/>
    <w:rsid w:val="00CA5663"/>
    <w:rsid w:val="00CB06A6"/>
    <w:rsid w:val="00CB0855"/>
    <w:rsid w:val="00CC1BE7"/>
    <w:rsid w:val="00CC4ED4"/>
    <w:rsid w:val="00CD063E"/>
    <w:rsid w:val="00CD6CF0"/>
    <w:rsid w:val="00CD7275"/>
    <w:rsid w:val="00CE5D9C"/>
    <w:rsid w:val="00D00F5B"/>
    <w:rsid w:val="00D04CF0"/>
    <w:rsid w:val="00D12714"/>
    <w:rsid w:val="00D26908"/>
    <w:rsid w:val="00D26E2B"/>
    <w:rsid w:val="00D3650F"/>
    <w:rsid w:val="00D64469"/>
    <w:rsid w:val="00D67624"/>
    <w:rsid w:val="00D71274"/>
    <w:rsid w:val="00D84A40"/>
    <w:rsid w:val="00DA4389"/>
    <w:rsid w:val="00DA4D59"/>
    <w:rsid w:val="00DC7247"/>
    <w:rsid w:val="00DD2E01"/>
    <w:rsid w:val="00DF03E1"/>
    <w:rsid w:val="00DF1929"/>
    <w:rsid w:val="00DF7016"/>
    <w:rsid w:val="00E013BA"/>
    <w:rsid w:val="00E0461C"/>
    <w:rsid w:val="00E06E74"/>
    <w:rsid w:val="00E103D1"/>
    <w:rsid w:val="00E23F2A"/>
    <w:rsid w:val="00E25100"/>
    <w:rsid w:val="00E333C6"/>
    <w:rsid w:val="00E4686E"/>
    <w:rsid w:val="00E61D91"/>
    <w:rsid w:val="00E675F5"/>
    <w:rsid w:val="00E716C3"/>
    <w:rsid w:val="00E74FFD"/>
    <w:rsid w:val="00E81FCC"/>
    <w:rsid w:val="00E85AE7"/>
    <w:rsid w:val="00EA620D"/>
    <w:rsid w:val="00EB046D"/>
    <w:rsid w:val="00EC35BA"/>
    <w:rsid w:val="00EC4AB3"/>
    <w:rsid w:val="00EE0E72"/>
    <w:rsid w:val="00F113DD"/>
    <w:rsid w:val="00F218CE"/>
    <w:rsid w:val="00F24AA8"/>
    <w:rsid w:val="00F36D80"/>
    <w:rsid w:val="00F401BC"/>
    <w:rsid w:val="00F42490"/>
    <w:rsid w:val="00F537CE"/>
    <w:rsid w:val="00F53F0D"/>
    <w:rsid w:val="00F55D21"/>
    <w:rsid w:val="00F57FDC"/>
    <w:rsid w:val="00F60FEA"/>
    <w:rsid w:val="00F72ED3"/>
    <w:rsid w:val="00F73E4A"/>
    <w:rsid w:val="00F774FF"/>
    <w:rsid w:val="00FB1CF3"/>
    <w:rsid w:val="00FC144B"/>
    <w:rsid w:val="00FC32AC"/>
    <w:rsid w:val="00FC3B23"/>
    <w:rsid w:val="00FC43B6"/>
    <w:rsid w:val="00FC70C6"/>
    <w:rsid w:val="00FE6634"/>
    <w:rsid w:val="00FF4B4D"/>
    <w:rsid w:val="010F8587"/>
    <w:rsid w:val="01A89038"/>
    <w:rsid w:val="01C959CF"/>
    <w:rsid w:val="025750DC"/>
    <w:rsid w:val="025BA08B"/>
    <w:rsid w:val="02C6E87B"/>
    <w:rsid w:val="04983734"/>
    <w:rsid w:val="04E3E5BD"/>
    <w:rsid w:val="05C82B31"/>
    <w:rsid w:val="05EA8FB3"/>
    <w:rsid w:val="0608CA14"/>
    <w:rsid w:val="07239802"/>
    <w:rsid w:val="073BDBDB"/>
    <w:rsid w:val="07DC6ADF"/>
    <w:rsid w:val="080D7F39"/>
    <w:rsid w:val="08A52169"/>
    <w:rsid w:val="095BDD87"/>
    <w:rsid w:val="09D617EC"/>
    <w:rsid w:val="0A26ADEF"/>
    <w:rsid w:val="0A3D413E"/>
    <w:rsid w:val="0A9F90F0"/>
    <w:rsid w:val="0B06BFF2"/>
    <w:rsid w:val="0C207329"/>
    <w:rsid w:val="0C2FC5FB"/>
    <w:rsid w:val="0D1CBBBD"/>
    <w:rsid w:val="0DB8D9A8"/>
    <w:rsid w:val="0DE9FA88"/>
    <w:rsid w:val="0DFDE424"/>
    <w:rsid w:val="0E4FF883"/>
    <w:rsid w:val="0EAB2A62"/>
    <w:rsid w:val="0F9F0A0E"/>
    <w:rsid w:val="0FE1C531"/>
    <w:rsid w:val="10A0BCE5"/>
    <w:rsid w:val="10E112BB"/>
    <w:rsid w:val="128E6B35"/>
    <w:rsid w:val="12B901D5"/>
    <w:rsid w:val="139255F4"/>
    <w:rsid w:val="139758B3"/>
    <w:rsid w:val="163CA692"/>
    <w:rsid w:val="164FF6AF"/>
    <w:rsid w:val="16E5EDEA"/>
    <w:rsid w:val="18CD6B0B"/>
    <w:rsid w:val="18FD8A11"/>
    <w:rsid w:val="192EFAFF"/>
    <w:rsid w:val="19427A23"/>
    <w:rsid w:val="195B4A1A"/>
    <w:rsid w:val="19E6357D"/>
    <w:rsid w:val="1A154168"/>
    <w:rsid w:val="1A3D1B5E"/>
    <w:rsid w:val="1C064CF4"/>
    <w:rsid w:val="1D51504B"/>
    <w:rsid w:val="1D74EEF1"/>
    <w:rsid w:val="1D894AE0"/>
    <w:rsid w:val="1DA61317"/>
    <w:rsid w:val="1DECC389"/>
    <w:rsid w:val="1F35BB7A"/>
    <w:rsid w:val="1FB49FB8"/>
    <w:rsid w:val="2005F02B"/>
    <w:rsid w:val="2051DDFB"/>
    <w:rsid w:val="207B9753"/>
    <w:rsid w:val="2092207F"/>
    <w:rsid w:val="213AFA82"/>
    <w:rsid w:val="21C3C80A"/>
    <w:rsid w:val="21F8A8A4"/>
    <w:rsid w:val="22DD2806"/>
    <w:rsid w:val="23181F1E"/>
    <w:rsid w:val="245E60E8"/>
    <w:rsid w:val="24B5808C"/>
    <w:rsid w:val="26C2C816"/>
    <w:rsid w:val="2735042C"/>
    <w:rsid w:val="2834302B"/>
    <w:rsid w:val="2875CAE3"/>
    <w:rsid w:val="28CA0A5A"/>
    <w:rsid w:val="297DB966"/>
    <w:rsid w:val="2A20E69A"/>
    <w:rsid w:val="2AB5C423"/>
    <w:rsid w:val="2B78807F"/>
    <w:rsid w:val="2C2BF174"/>
    <w:rsid w:val="2C85A84E"/>
    <w:rsid w:val="2C94D40F"/>
    <w:rsid w:val="2CB16D6D"/>
    <w:rsid w:val="2CBBB55D"/>
    <w:rsid w:val="2D3E3EC1"/>
    <w:rsid w:val="2E78886A"/>
    <w:rsid w:val="2EC4DD2E"/>
    <w:rsid w:val="2F1C9FE2"/>
    <w:rsid w:val="2F2D152B"/>
    <w:rsid w:val="2FA34781"/>
    <w:rsid w:val="317B05B1"/>
    <w:rsid w:val="336FAD4C"/>
    <w:rsid w:val="34013E30"/>
    <w:rsid w:val="34302740"/>
    <w:rsid w:val="3454FE5E"/>
    <w:rsid w:val="345FDE5D"/>
    <w:rsid w:val="34EC5EB6"/>
    <w:rsid w:val="34EFDD28"/>
    <w:rsid w:val="3541B457"/>
    <w:rsid w:val="35C06BC8"/>
    <w:rsid w:val="360A06E8"/>
    <w:rsid w:val="3698DBF5"/>
    <w:rsid w:val="372DCE31"/>
    <w:rsid w:val="3731D117"/>
    <w:rsid w:val="37EA642F"/>
    <w:rsid w:val="38AB87DB"/>
    <w:rsid w:val="39799986"/>
    <w:rsid w:val="3995EF17"/>
    <w:rsid w:val="39CC950D"/>
    <w:rsid w:val="3AC74B05"/>
    <w:rsid w:val="3BF5C21F"/>
    <w:rsid w:val="3C1ABDFA"/>
    <w:rsid w:val="3CED0942"/>
    <w:rsid w:val="3CF6D2FC"/>
    <w:rsid w:val="3D2858BD"/>
    <w:rsid w:val="3D6195F9"/>
    <w:rsid w:val="3D909DBE"/>
    <w:rsid w:val="3DB90BD6"/>
    <w:rsid w:val="3E22C232"/>
    <w:rsid w:val="4155B0F2"/>
    <w:rsid w:val="4196E962"/>
    <w:rsid w:val="41EE520F"/>
    <w:rsid w:val="42629050"/>
    <w:rsid w:val="42B1603B"/>
    <w:rsid w:val="433B09C9"/>
    <w:rsid w:val="433D526B"/>
    <w:rsid w:val="4359CB4B"/>
    <w:rsid w:val="437A2650"/>
    <w:rsid w:val="4479A82A"/>
    <w:rsid w:val="44EB22A2"/>
    <w:rsid w:val="475C784C"/>
    <w:rsid w:val="47E24125"/>
    <w:rsid w:val="499F9281"/>
    <w:rsid w:val="4A9444D5"/>
    <w:rsid w:val="4AAFBB2A"/>
    <w:rsid w:val="4AFBBF20"/>
    <w:rsid w:val="4B2C1996"/>
    <w:rsid w:val="4BD097DB"/>
    <w:rsid w:val="4BE8EE1C"/>
    <w:rsid w:val="4C19FE0B"/>
    <w:rsid w:val="4C2D5E3D"/>
    <w:rsid w:val="4CA78925"/>
    <w:rsid w:val="4D855576"/>
    <w:rsid w:val="4DD71328"/>
    <w:rsid w:val="4E0D4D4D"/>
    <w:rsid w:val="4EC15C13"/>
    <w:rsid w:val="4EE7BA04"/>
    <w:rsid w:val="4F4EDACD"/>
    <w:rsid w:val="4F95980B"/>
    <w:rsid w:val="4F9E23D8"/>
    <w:rsid w:val="50F9952F"/>
    <w:rsid w:val="51704685"/>
    <w:rsid w:val="51FF6E46"/>
    <w:rsid w:val="5208347F"/>
    <w:rsid w:val="5284C44F"/>
    <w:rsid w:val="5305E78B"/>
    <w:rsid w:val="532E9ECF"/>
    <w:rsid w:val="54026332"/>
    <w:rsid w:val="54D80C7D"/>
    <w:rsid w:val="559BDD27"/>
    <w:rsid w:val="55A8EE17"/>
    <w:rsid w:val="55C01435"/>
    <w:rsid w:val="56EABD6D"/>
    <w:rsid w:val="5757188F"/>
    <w:rsid w:val="57A11661"/>
    <w:rsid w:val="57B41882"/>
    <w:rsid w:val="58C6CEDF"/>
    <w:rsid w:val="58D92E1A"/>
    <w:rsid w:val="58F68343"/>
    <w:rsid w:val="591DBD81"/>
    <w:rsid w:val="59980C28"/>
    <w:rsid w:val="5A67B0E5"/>
    <w:rsid w:val="5AF7139B"/>
    <w:rsid w:val="5B2E7492"/>
    <w:rsid w:val="5B66C7A0"/>
    <w:rsid w:val="5B841C75"/>
    <w:rsid w:val="5BC6FC8B"/>
    <w:rsid w:val="5C27DC5F"/>
    <w:rsid w:val="5C383CD4"/>
    <w:rsid w:val="5C4C8FD9"/>
    <w:rsid w:val="5C9C6194"/>
    <w:rsid w:val="5CBE0059"/>
    <w:rsid w:val="5E514EC4"/>
    <w:rsid w:val="5E864133"/>
    <w:rsid w:val="5F4B32AB"/>
    <w:rsid w:val="5FFC5A37"/>
    <w:rsid w:val="60BBA92B"/>
    <w:rsid w:val="60C6DA53"/>
    <w:rsid w:val="6221143C"/>
    <w:rsid w:val="62DA9501"/>
    <w:rsid w:val="62DE6F1A"/>
    <w:rsid w:val="6326BEE0"/>
    <w:rsid w:val="637F8E77"/>
    <w:rsid w:val="63B85C09"/>
    <w:rsid w:val="641B6910"/>
    <w:rsid w:val="641DC19A"/>
    <w:rsid w:val="648EB871"/>
    <w:rsid w:val="6496263D"/>
    <w:rsid w:val="64A70571"/>
    <w:rsid w:val="6749C3DF"/>
    <w:rsid w:val="67C41854"/>
    <w:rsid w:val="67D0630E"/>
    <w:rsid w:val="6802D1A6"/>
    <w:rsid w:val="687897CF"/>
    <w:rsid w:val="68ECA963"/>
    <w:rsid w:val="69045CEC"/>
    <w:rsid w:val="690B5D8C"/>
    <w:rsid w:val="69BC58E8"/>
    <w:rsid w:val="6A7D0D19"/>
    <w:rsid w:val="6B66E746"/>
    <w:rsid w:val="6BD4A6B1"/>
    <w:rsid w:val="6BE693B7"/>
    <w:rsid w:val="6BFD1303"/>
    <w:rsid w:val="6C550B5D"/>
    <w:rsid w:val="6C8566EA"/>
    <w:rsid w:val="6CDAF473"/>
    <w:rsid w:val="6D978687"/>
    <w:rsid w:val="6E7CFCD1"/>
    <w:rsid w:val="6EA63E3D"/>
    <w:rsid w:val="7099D225"/>
    <w:rsid w:val="719542A8"/>
    <w:rsid w:val="71C1B955"/>
    <w:rsid w:val="72591803"/>
    <w:rsid w:val="72BE1941"/>
    <w:rsid w:val="731582B5"/>
    <w:rsid w:val="7338F235"/>
    <w:rsid w:val="73E6CE6D"/>
    <w:rsid w:val="741251EA"/>
    <w:rsid w:val="743B1A10"/>
    <w:rsid w:val="753BB508"/>
    <w:rsid w:val="75588B8B"/>
    <w:rsid w:val="75973725"/>
    <w:rsid w:val="760016FD"/>
    <w:rsid w:val="760B046D"/>
    <w:rsid w:val="77431594"/>
    <w:rsid w:val="77A90C53"/>
    <w:rsid w:val="7912B8AC"/>
    <w:rsid w:val="7980F024"/>
    <w:rsid w:val="79CD7007"/>
    <w:rsid w:val="79FEDFBB"/>
    <w:rsid w:val="7A1B5915"/>
    <w:rsid w:val="7A1C5661"/>
    <w:rsid w:val="7A94AD31"/>
    <w:rsid w:val="7AACD258"/>
    <w:rsid w:val="7B310496"/>
    <w:rsid w:val="7BC3C4B5"/>
    <w:rsid w:val="7BE5C0FE"/>
    <w:rsid w:val="7BF0F208"/>
    <w:rsid w:val="7CD92142"/>
    <w:rsid w:val="7CE5C11D"/>
    <w:rsid w:val="7D4405AA"/>
    <w:rsid w:val="7D6FB455"/>
    <w:rsid w:val="7D72949C"/>
    <w:rsid w:val="7DD62071"/>
    <w:rsid w:val="7E13841E"/>
    <w:rsid w:val="7E2C64D7"/>
    <w:rsid w:val="7E9E89EC"/>
    <w:rsid w:val="7EAB3FC3"/>
    <w:rsid w:val="7FF29B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FCA803"/>
  <w15:chartTrackingRefBased/>
  <w15:docId w15:val="{CB1D9321-19D4-4DDA-845C-6498C5CB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D80"/>
    <w:rPr>
      <w:sz w:val="24"/>
    </w:rPr>
  </w:style>
  <w:style w:type="paragraph" w:styleId="Heading1">
    <w:name w:val="heading 1"/>
    <w:basedOn w:val="Normal"/>
    <w:next w:val="Normal"/>
    <w:link w:val="Heading1Char"/>
    <w:uiPriority w:val="9"/>
    <w:qFormat/>
    <w:rsid w:val="00DF7016"/>
    <w:pPr>
      <w:keepNext/>
      <w:keepLines/>
      <w:spacing w:before="320" w:after="0" w:line="240" w:lineRule="auto"/>
      <w:outlineLvl w:val="0"/>
    </w:pPr>
    <w:rPr>
      <w:rFonts w:asciiTheme="majorHAnsi" w:eastAsiaTheme="majorEastAsia" w:hAnsiTheme="majorHAnsi" w:cstheme="majorBidi"/>
      <w:color w:val="2F5496" w:themeColor="accent1" w:themeShade="BF"/>
      <w:szCs w:val="32"/>
    </w:rPr>
  </w:style>
  <w:style w:type="paragraph" w:styleId="Heading2">
    <w:name w:val="heading 2"/>
    <w:basedOn w:val="Normal"/>
    <w:next w:val="Normal"/>
    <w:link w:val="Heading2Char"/>
    <w:uiPriority w:val="9"/>
    <w:unhideWhenUsed/>
    <w:qFormat/>
    <w:rsid w:val="004A1882"/>
    <w:pPr>
      <w:keepNext/>
      <w:keepLines/>
      <w:spacing w:before="80" w:after="0" w:line="240" w:lineRule="auto"/>
      <w:outlineLvl w:val="1"/>
    </w:pPr>
    <w:rPr>
      <w:rFonts w:asciiTheme="majorHAnsi" w:eastAsiaTheme="majorEastAsia" w:hAnsiTheme="majorHAnsi" w:cstheme="majorBidi"/>
      <w:color w:val="404040" w:themeColor="text1" w:themeTint="BF"/>
      <w:szCs w:val="28"/>
    </w:rPr>
  </w:style>
  <w:style w:type="paragraph" w:styleId="Heading3">
    <w:name w:val="heading 3"/>
    <w:basedOn w:val="Normal"/>
    <w:next w:val="Normal"/>
    <w:link w:val="Heading3Char"/>
    <w:uiPriority w:val="9"/>
    <w:unhideWhenUsed/>
    <w:qFormat/>
    <w:rsid w:val="0097172C"/>
    <w:pPr>
      <w:keepNext/>
      <w:keepLines/>
      <w:spacing w:before="40" w:after="0" w:line="240" w:lineRule="auto"/>
      <w:outlineLvl w:val="2"/>
    </w:pPr>
    <w:rPr>
      <w:rFonts w:asciiTheme="majorHAnsi" w:eastAsiaTheme="majorEastAsia" w:hAnsiTheme="majorHAnsi" w:cstheme="majorBidi"/>
      <w:color w:val="44546A" w:themeColor="text2"/>
      <w:szCs w:val="24"/>
    </w:rPr>
  </w:style>
  <w:style w:type="paragraph" w:styleId="Heading4">
    <w:name w:val="heading 4"/>
    <w:basedOn w:val="Normal"/>
    <w:next w:val="Normal"/>
    <w:link w:val="Heading4Char"/>
    <w:uiPriority w:val="9"/>
    <w:semiHidden/>
    <w:unhideWhenUsed/>
    <w:qFormat/>
    <w:rsid w:val="0056477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64771"/>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64771"/>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64771"/>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564771"/>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64771"/>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6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346"/>
    <w:pPr>
      <w:ind w:left="720"/>
      <w:contextualSpacing/>
    </w:pPr>
  </w:style>
  <w:style w:type="character" w:customStyle="1" w:styleId="Heading1Char">
    <w:name w:val="Heading 1 Char"/>
    <w:basedOn w:val="DefaultParagraphFont"/>
    <w:link w:val="Heading1"/>
    <w:uiPriority w:val="9"/>
    <w:rsid w:val="00DF7016"/>
    <w:rPr>
      <w:rFonts w:asciiTheme="majorHAnsi" w:eastAsiaTheme="majorEastAsia" w:hAnsiTheme="majorHAnsi" w:cstheme="majorBidi"/>
      <w:color w:val="2F5496" w:themeColor="accent1" w:themeShade="BF"/>
      <w:sz w:val="24"/>
      <w:szCs w:val="32"/>
    </w:rPr>
  </w:style>
  <w:style w:type="character" w:customStyle="1" w:styleId="Heading2Char">
    <w:name w:val="Heading 2 Char"/>
    <w:basedOn w:val="DefaultParagraphFont"/>
    <w:link w:val="Heading2"/>
    <w:uiPriority w:val="9"/>
    <w:rsid w:val="004A1882"/>
    <w:rPr>
      <w:rFonts w:asciiTheme="majorHAnsi" w:eastAsiaTheme="majorEastAsia" w:hAnsiTheme="majorHAnsi" w:cstheme="majorBidi"/>
      <w:color w:val="404040" w:themeColor="text1" w:themeTint="BF"/>
      <w:sz w:val="24"/>
      <w:szCs w:val="28"/>
    </w:rPr>
  </w:style>
  <w:style w:type="character" w:customStyle="1" w:styleId="Heading3Char">
    <w:name w:val="Heading 3 Char"/>
    <w:basedOn w:val="DefaultParagraphFont"/>
    <w:link w:val="Heading3"/>
    <w:uiPriority w:val="9"/>
    <w:rsid w:val="0097172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56477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64771"/>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56477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64771"/>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564771"/>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64771"/>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564771"/>
    <w:pPr>
      <w:spacing w:line="240" w:lineRule="auto"/>
    </w:pPr>
    <w:rPr>
      <w:b/>
      <w:bCs/>
      <w:smallCaps/>
      <w:color w:val="595959" w:themeColor="text1" w:themeTint="A6"/>
      <w:spacing w:val="6"/>
    </w:rPr>
  </w:style>
  <w:style w:type="paragraph" w:styleId="Title">
    <w:name w:val="Title"/>
    <w:basedOn w:val="Normal"/>
    <w:next w:val="NoSpacing"/>
    <w:link w:val="TitleChar"/>
    <w:uiPriority w:val="10"/>
    <w:rsid w:val="00A024B5"/>
    <w:pPr>
      <w:spacing w:after="0" w:line="240" w:lineRule="auto"/>
      <w:contextualSpacing/>
    </w:pPr>
    <w:rPr>
      <w:rFonts w:asciiTheme="majorHAnsi" w:eastAsiaTheme="majorEastAsia" w:hAnsiTheme="majorHAnsi" w:cstheme="majorBidi"/>
      <w:color w:val="4472C4" w:themeColor="accent1"/>
      <w:spacing w:val="-10"/>
      <w:szCs w:val="36"/>
    </w:rPr>
  </w:style>
  <w:style w:type="character" w:customStyle="1" w:styleId="TitleChar">
    <w:name w:val="Title Char"/>
    <w:basedOn w:val="DefaultParagraphFont"/>
    <w:link w:val="Title"/>
    <w:uiPriority w:val="10"/>
    <w:rsid w:val="00A024B5"/>
    <w:rPr>
      <w:rFonts w:asciiTheme="majorHAnsi" w:eastAsiaTheme="majorEastAsia" w:hAnsiTheme="majorHAnsi" w:cstheme="majorBidi"/>
      <w:color w:val="4472C4" w:themeColor="accent1"/>
      <w:spacing w:val="-10"/>
      <w:sz w:val="24"/>
      <w:szCs w:val="36"/>
    </w:rPr>
  </w:style>
  <w:style w:type="paragraph" w:styleId="Subtitle">
    <w:name w:val="Subtitle"/>
    <w:basedOn w:val="Normal"/>
    <w:next w:val="Normal"/>
    <w:link w:val="SubtitleChar"/>
    <w:uiPriority w:val="11"/>
    <w:qFormat/>
    <w:rsid w:val="00564771"/>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564771"/>
    <w:rPr>
      <w:rFonts w:asciiTheme="majorHAnsi" w:eastAsiaTheme="majorEastAsia" w:hAnsiTheme="majorHAnsi" w:cstheme="majorBidi"/>
      <w:sz w:val="24"/>
      <w:szCs w:val="24"/>
    </w:rPr>
  </w:style>
  <w:style w:type="character" w:styleId="Strong">
    <w:name w:val="Strong"/>
    <w:basedOn w:val="DefaultParagraphFont"/>
    <w:uiPriority w:val="22"/>
    <w:qFormat/>
    <w:rsid w:val="00564771"/>
    <w:rPr>
      <w:b/>
      <w:bCs/>
    </w:rPr>
  </w:style>
  <w:style w:type="character" w:styleId="Emphasis">
    <w:name w:val="Emphasis"/>
    <w:basedOn w:val="DefaultParagraphFont"/>
    <w:uiPriority w:val="20"/>
    <w:qFormat/>
    <w:rsid w:val="00564771"/>
    <w:rPr>
      <w:i/>
      <w:iCs/>
    </w:rPr>
  </w:style>
  <w:style w:type="paragraph" w:styleId="NoSpacing">
    <w:name w:val="No Spacing"/>
    <w:uiPriority w:val="1"/>
    <w:qFormat/>
    <w:rsid w:val="00564771"/>
    <w:pPr>
      <w:spacing w:after="0" w:line="240" w:lineRule="auto"/>
    </w:pPr>
  </w:style>
  <w:style w:type="paragraph" w:styleId="Quote">
    <w:name w:val="Quote"/>
    <w:basedOn w:val="Normal"/>
    <w:next w:val="Normal"/>
    <w:link w:val="QuoteChar"/>
    <w:uiPriority w:val="29"/>
    <w:qFormat/>
    <w:rsid w:val="0056477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64771"/>
    <w:rPr>
      <w:i/>
      <w:iCs/>
      <w:color w:val="404040" w:themeColor="text1" w:themeTint="BF"/>
    </w:rPr>
  </w:style>
  <w:style w:type="paragraph" w:styleId="IntenseQuote">
    <w:name w:val="Intense Quote"/>
    <w:basedOn w:val="Normal"/>
    <w:next w:val="Normal"/>
    <w:link w:val="IntenseQuoteChar"/>
    <w:uiPriority w:val="30"/>
    <w:qFormat/>
    <w:rsid w:val="00564771"/>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564771"/>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564771"/>
    <w:rPr>
      <w:i/>
      <w:iCs/>
      <w:color w:val="404040" w:themeColor="text1" w:themeTint="BF"/>
    </w:rPr>
  </w:style>
  <w:style w:type="character" w:styleId="IntenseEmphasis">
    <w:name w:val="Intense Emphasis"/>
    <w:basedOn w:val="DefaultParagraphFont"/>
    <w:uiPriority w:val="21"/>
    <w:qFormat/>
    <w:rsid w:val="00564771"/>
    <w:rPr>
      <w:b/>
      <w:bCs/>
      <w:i/>
      <w:iCs/>
    </w:rPr>
  </w:style>
  <w:style w:type="character" w:styleId="SubtleReference">
    <w:name w:val="Subtle Reference"/>
    <w:basedOn w:val="DefaultParagraphFont"/>
    <w:uiPriority w:val="31"/>
    <w:qFormat/>
    <w:rsid w:val="0056477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64771"/>
    <w:rPr>
      <w:b/>
      <w:bCs/>
      <w:smallCaps/>
      <w:spacing w:val="5"/>
      <w:u w:val="single"/>
    </w:rPr>
  </w:style>
  <w:style w:type="character" w:styleId="BookTitle">
    <w:name w:val="Book Title"/>
    <w:basedOn w:val="DefaultParagraphFont"/>
    <w:uiPriority w:val="33"/>
    <w:qFormat/>
    <w:rsid w:val="00564771"/>
    <w:rPr>
      <w:b/>
      <w:bCs/>
      <w:smallCaps/>
    </w:rPr>
  </w:style>
  <w:style w:type="paragraph" w:styleId="TOCHeading">
    <w:name w:val="TOC Heading"/>
    <w:basedOn w:val="Heading1"/>
    <w:next w:val="Normal"/>
    <w:uiPriority w:val="39"/>
    <w:semiHidden/>
    <w:unhideWhenUsed/>
    <w:qFormat/>
    <w:rsid w:val="00564771"/>
    <w:pPr>
      <w:outlineLvl w:val="9"/>
    </w:pPr>
  </w:style>
  <w:style w:type="character" w:styleId="CommentReference">
    <w:name w:val="annotation reference"/>
    <w:basedOn w:val="DefaultParagraphFont"/>
    <w:uiPriority w:val="99"/>
    <w:semiHidden/>
    <w:unhideWhenUsed/>
    <w:rsid w:val="00FE6634"/>
    <w:rPr>
      <w:sz w:val="16"/>
      <w:szCs w:val="16"/>
    </w:rPr>
  </w:style>
  <w:style w:type="paragraph" w:styleId="CommentText">
    <w:name w:val="annotation text"/>
    <w:basedOn w:val="Normal"/>
    <w:link w:val="CommentTextChar"/>
    <w:uiPriority w:val="99"/>
    <w:semiHidden/>
    <w:unhideWhenUsed/>
    <w:rsid w:val="00FE6634"/>
    <w:pPr>
      <w:spacing w:line="240" w:lineRule="auto"/>
    </w:pPr>
  </w:style>
  <w:style w:type="character" w:customStyle="1" w:styleId="CommentTextChar">
    <w:name w:val="Comment Text Char"/>
    <w:basedOn w:val="DefaultParagraphFont"/>
    <w:link w:val="CommentText"/>
    <w:uiPriority w:val="99"/>
    <w:semiHidden/>
    <w:rsid w:val="00FE6634"/>
  </w:style>
  <w:style w:type="paragraph" w:styleId="CommentSubject">
    <w:name w:val="annotation subject"/>
    <w:basedOn w:val="CommentText"/>
    <w:next w:val="CommentText"/>
    <w:link w:val="CommentSubjectChar"/>
    <w:uiPriority w:val="99"/>
    <w:semiHidden/>
    <w:unhideWhenUsed/>
    <w:rsid w:val="00FE6634"/>
    <w:rPr>
      <w:b/>
      <w:bCs/>
    </w:rPr>
  </w:style>
  <w:style w:type="character" w:customStyle="1" w:styleId="CommentSubjectChar">
    <w:name w:val="Comment Subject Char"/>
    <w:basedOn w:val="CommentTextChar"/>
    <w:link w:val="CommentSubject"/>
    <w:uiPriority w:val="99"/>
    <w:semiHidden/>
    <w:rsid w:val="00FE6634"/>
    <w:rPr>
      <w:b/>
      <w:bCs/>
    </w:rPr>
  </w:style>
  <w:style w:type="paragraph" w:styleId="BalloonText">
    <w:name w:val="Balloon Text"/>
    <w:basedOn w:val="Normal"/>
    <w:link w:val="BalloonTextChar"/>
    <w:uiPriority w:val="99"/>
    <w:semiHidden/>
    <w:unhideWhenUsed/>
    <w:rsid w:val="00FE66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634"/>
    <w:rPr>
      <w:rFonts w:ascii="Segoe UI" w:hAnsi="Segoe UI" w:cs="Segoe UI"/>
      <w:sz w:val="18"/>
      <w:szCs w:val="18"/>
    </w:rPr>
  </w:style>
  <w:style w:type="paragraph" w:styleId="Revision">
    <w:name w:val="Revision"/>
    <w:hidden/>
    <w:uiPriority w:val="99"/>
    <w:semiHidden/>
    <w:rsid w:val="00D12714"/>
    <w:pPr>
      <w:spacing w:after="0" w:line="240" w:lineRule="auto"/>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cd1ac8-0856-4252-9620-ac12cf18151f">
      <Terms xmlns="http://schemas.microsoft.com/office/infopath/2007/PartnerControls"/>
    </lcf76f155ced4ddcb4097134ff3c332f>
    <TaxCatchAll xmlns="9d3077f2-8ff2-4760-98d0-51448b525b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DF8450C6EFBE48970C7FCAF770DA1A" ma:contentTypeVersion="14" ma:contentTypeDescription="Create a new document." ma:contentTypeScope="" ma:versionID="6f6698aa41f7df5ef03ee29e715bdaca">
  <xsd:schema xmlns:xsd="http://www.w3.org/2001/XMLSchema" xmlns:xs="http://www.w3.org/2001/XMLSchema" xmlns:p="http://schemas.microsoft.com/office/2006/metadata/properties" xmlns:ns2="fdcd1ac8-0856-4252-9620-ac12cf18151f" xmlns:ns3="9d3077f2-8ff2-4760-98d0-51448b525bb2" targetNamespace="http://schemas.microsoft.com/office/2006/metadata/properties" ma:root="true" ma:fieldsID="119ec1541536c4da68f01ff6852a4032" ns2:_="" ns3:_="">
    <xsd:import namespace="fdcd1ac8-0856-4252-9620-ac12cf18151f"/>
    <xsd:import namespace="9d3077f2-8ff2-4760-98d0-51448b525b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d1ac8-0856-4252-9620-ac12cf18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077f2-8ff2-4760-98d0-51448b525b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b162f5-36d3-48bb-9677-116bd58810fc}" ma:internalName="TaxCatchAll" ma:showField="CatchAllData" ma:web="9d3077f2-8ff2-4760-98d0-51448b525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9E5718-7CA4-4136-A9E0-C19E4FF775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C0F53E-A0A0-4B22-9A46-96B4E5D3CD4C}"/>
</file>

<file path=customXml/itemProps3.xml><?xml version="1.0" encoding="utf-8"?>
<ds:datastoreItem xmlns:ds="http://schemas.openxmlformats.org/officeDocument/2006/customXml" ds:itemID="{036C2186-7667-4017-B398-A1837F4377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1100</Words>
  <Characters>6093</Characters>
  <Application>Microsoft Office Word</Application>
  <DocSecurity>0</DocSecurity>
  <Lines>211</Lines>
  <Paragraphs>76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Barker, Laurie (CDC/DDID/NCHHSTP/DVH)</dc:creator>
  <cp:keywords/>
  <dc:description/>
  <cp:lastModifiedBy>Tsang, Clarisse (CDC/NCHHSTP/DVH)</cp:lastModifiedBy>
  <cp:revision>2</cp:revision>
  <dcterms:created xsi:type="dcterms:W3CDTF">2026-02-04T20:56:00Z</dcterms:created>
  <dcterms:modified xsi:type="dcterms:W3CDTF">2026-02-04T20:56:00Z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0x010100E9DF8450C6EFBE48970C7FCAF770DA1A</vt:lpwstr>
  </property>
  <property fmtid="{D5CDD505-2E9C-101B-9397-08002B2CF9AE}" pid="3" name="MSIP_Label_8af03ff0-41c5-4c41-b55e-fabb8fae94be_Enabled">
    <vt:lpwstr>True</vt:lpwstr>
  </property>
  <property fmtid="{D5CDD505-2E9C-101B-9397-08002B2CF9AE}" pid="4" name="MSIP_Label_8af03ff0-41c5-4c41-b55e-fabb8fae94be_SiteId">
    <vt:lpwstr>9ce70869-60db-44fd-abe8-d2767077fc8f</vt:lpwstr>
  </property>
  <property fmtid="{D5CDD505-2E9C-101B-9397-08002B2CF9AE}" pid="5" name="MSIP_Label_8af03ff0-41c5-4c41-b55e-fabb8fae94be_Owner">
    <vt:lpwstr>kes0@cdc.gov</vt:lpwstr>
  </property>
  <property fmtid="{D5CDD505-2E9C-101B-9397-08002B2CF9AE}" pid="6" name="MSIP_Label_8af03ff0-41c5-4c41-b55e-fabb8fae94be_SetDate">
    <vt:lpwstr>2020-10-08T19:02:39.8760040Z</vt:lpwstr>
  </property>
  <property fmtid="{D5CDD505-2E9C-101B-9397-08002B2CF9AE}" pid="7" name="MSIP_Label_8af03ff0-41c5-4c41-b55e-fabb8fae94be_Name">
    <vt:lpwstr>Public</vt:lpwstr>
  </property>
  <property fmtid="{D5CDD505-2E9C-101B-9397-08002B2CF9AE}" pid="8" name="MSIP_Label_8af03ff0-41c5-4c41-b55e-fabb8fae94be_Application">
    <vt:lpwstr>Microsoft Azure Information Protection</vt:lpwstr>
  </property>
  <property fmtid="{D5CDD505-2E9C-101B-9397-08002B2CF9AE}" pid="9" name="MSIP_Label_8af03ff0-41c5-4c41-b55e-fabb8fae94be_ActionId">
    <vt:lpwstr>3e463894-71b6-4977-8ed3-5ed9b263cd29</vt:lpwstr>
  </property>
  <property fmtid="{D5CDD505-2E9C-101B-9397-08002B2CF9AE}" pid="10" name="MSIP_Label_8af03ff0-41c5-4c41-b55e-fabb8fae94be_Extended_MSFT_Method">
    <vt:lpwstr>Manual</vt:lpwstr>
  </property>
  <property fmtid="{D5CDD505-2E9C-101B-9397-08002B2CF9AE}" pid="11" name="Sensitivity">
    <vt:lpwstr>Public</vt:lpwstr>
  </property>
</Properties>
</file>