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FD45" w14:textId="012BB7C9" w:rsidR="653FE4A5" w:rsidRDefault="00D1272C" w:rsidP="06EAC734">
      <w:pPr>
        <w:spacing w:line="278" w:lineRule="auto"/>
        <w:rPr>
          <w:rFonts w:ascii="Aptos" w:eastAsia="Aptos" w:hAnsi="Aptos" w:cs="Aptos"/>
          <w:b/>
          <w:bCs/>
          <w:i/>
          <w:iCs/>
          <w:color w:val="0F9DD4"/>
        </w:rPr>
      </w:pPr>
      <w:r>
        <w:rPr>
          <w:rFonts w:ascii="Aptos" w:eastAsia="Aptos" w:hAnsi="Aptos" w:cs="Aptos"/>
          <w:b/>
          <w:bCs/>
          <w:color w:val="000000" w:themeColor="text1"/>
        </w:rPr>
        <w:t xml:space="preserve">Practical Modeling Concepts for Public Health - </w:t>
      </w:r>
      <w:r w:rsidR="653FE4A5" w:rsidRPr="06EAC734">
        <w:rPr>
          <w:rFonts w:ascii="Aptos" w:eastAsia="Aptos" w:hAnsi="Aptos" w:cs="Aptos"/>
          <w:b/>
          <w:bCs/>
          <w:color w:val="000000" w:themeColor="text1"/>
        </w:rPr>
        <w:t xml:space="preserve">Introduction – Sarah Connolly and </w:t>
      </w:r>
      <w:r w:rsidR="653FE4A5" w:rsidRPr="00A13F06">
        <w:rPr>
          <w:rFonts w:ascii="Aptos" w:eastAsia="Aptos" w:hAnsi="Aptos" w:cs="Aptos"/>
          <w:b/>
          <w:bCs/>
        </w:rPr>
        <w:t>Mike Cima</w:t>
      </w:r>
    </w:p>
    <w:p w14:paraId="4A243587" w14:textId="18817F53" w:rsidR="002947B3" w:rsidRDefault="002947B3" w:rsidP="00333919">
      <w:pPr>
        <w:spacing w:line="278" w:lineRule="auto"/>
        <w:rPr>
          <w:rFonts w:ascii="Aptos" w:eastAsia="Aptos" w:hAnsi="Aptos" w:cs="Aptos"/>
          <w:color w:val="FF0000"/>
        </w:rPr>
      </w:pPr>
      <w:r>
        <w:rPr>
          <w:rFonts w:ascii="Aptos" w:eastAsia="Aptos" w:hAnsi="Aptos" w:cs="Aptos"/>
          <w:color w:val="FF0000"/>
        </w:rPr>
        <w:t>First slide indicates that this is a</w:t>
      </w:r>
      <w:r w:rsidR="00A01C96">
        <w:rPr>
          <w:rFonts w:ascii="Aptos" w:eastAsia="Aptos" w:hAnsi="Aptos" w:cs="Aptos"/>
          <w:color w:val="FF0000"/>
        </w:rPr>
        <w:t xml:space="preserve"> “Practical Modeling Concepts for Public Health” educational series for public health practitioners.</w:t>
      </w:r>
      <w:r w:rsidR="00FB5765">
        <w:rPr>
          <w:rFonts w:ascii="Aptos" w:eastAsia="Aptos" w:hAnsi="Aptos" w:cs="Aptos"/>
          <w:color w:val="FF0000"/>
        </w:rPr>
        <w:t xml:space="preserve"> It is a white slide with blue accents and a CDC logo.</w:t>
      </w:r>
    </w:p>
    <w:p w14:paraId="06AF4A2F" w14:textId="5D00EB42" w:rsidR="00333919" w:rsidRPr="00F93811" w:rsidRDefault="002947B3" w:rsidP="00333919">
      <w:pPr>
        <w:spacing w:line="278" w:lineRule="auto"/>
        <w:rPr>
          <w:rFonts w:ascii="Aptos" w:eastAsia="Aptos" w:hAnsi="Aptos" w:cs="Aptos"/>
          <w:color w:val="FF0000"/>
        </w:rPr>
      </w:pPr>
      <w:r>
        <w:rPr>
          <w:rFonts w:ascii="Aptos" w:eastAsia="Aptos" w:hAnsi="Aptos" w:cs="Aptos"/>
          <w:color w:val="FF0000"/>
        </w:rPr>
        <w:t xml:space="preserve">Next, </w:t>
      </w:r>
      <w:r w:rsidR="00FB5765">
        <w:rPr>
          <w:rFonts w:ascii="Aptos" w:eastAsia="Aptos" w:hAnsi="Aptos" w:cs="Aptos"/>
          <w:color w:val="FF0000"/>
        </w:rPr>
        <w:t xml:space="preserve">a white woman with brown hair and a black shirt, </w:t>
      </w:r>
      <w:r w:rsidRPr="00F93811">
        <w:rPr>
          <w:rFonts w:ascii="Aptos" w:eastAsia="Aptos" w:hAnsi="Aptos" w:cs="Aptos"/>
          <w:color w:val="FF0000"/>
        </w:rPr>
        <w:t>Dr.</w:t>
      </w:r>
      <w:r w:rsidR="00333919" w:rsidRPr="00F93811">
        <w:rPr>
          <w:rFonts w:ascii="Aptos" w:eastAsia="Aptos" w:hAnsi="Aptos" w:cs="Aptos"/>
          <w:color w:val="FF0000"/>
        </w:rPr>
        <w:t xml:space="preserve"> Sarah Connolly</w:t>
      </w:r>
      <w:r w:rsidR="00FB5765">
        <w:rPr>
          <w:rFonts w:ascii="Aptos" w:eastAsia="Aptos" w:hAnsi="Aptos" w:cs="Aptos"/>
          <w:color w:val="FF0000"/>
        </w:rPr>
        <w:t>,</w:t>
      </w:r>
      <w:r w:rsidR="00333919" w:rsidRPr="00F93811">
        <w:rPr>
          <w:rFonts w:ascii="Aptos" w:eastAsia="Aptos" w:hAnsi="Aptos" w:cs="Aptos"/>
          <w:color w:val="FF0000"/>
        </w:rPr>
        <w:t xml:space="preserve"> and </w:t>
      </w:r>
      <w:r w:rsidR="00FB5765">
        <w:rPr>
          <w:rFonts w:ascii="Aptos" w:eastAsia="Aptos" w:hAnsi="Aptos" w:cs="Aptos"/>
          <w:color w:val="FF0000"/>
        </w:rPr>
        <w:t xml:space="preserve">a white man with brown hair wearing a purple shirt, </w:t>
      </w:r>
      <w:r w:rsidR="00333919" w:rsidRPr="00F93811">
        <w:rPr>
          <w:rFonts w:ascii="Aptos" w:eastAsia="Aptos" w:hAnsi="Aptos" w:cs="Aptos"/>
          <w:color w:val="FF0000"/>
        </w:rPr>
        <w:t>Dr. Mike Cima</w:t>
      </w:r>
      <w:r w:rsidR="00FB5765">
        <w:rPr>
          <w:rFonts w:ascii="Aptos" w:eastAsia="Aptos" w:hAnsi="Aptos" w:cs="Aptos"/>
          <w:color w:val="FF0000"/>
        </w:rPr>
        <w:t>,</w:t>
      </w:r>
      <w:r w:rsidR="00333919" w:rsidRPr="00F93811">
        <w:rPr>
          <w:rFonts w:ascii="Aptos" w:eastAsia="Aptos" w:hAnsi="Aptos" w:cs="Aptos"/>
          <w:color w:val="FF0000"/>
        </w:rPr>
        <w:t xml:space="preserve"> speak to the camera.</w:t>
      </w:r>
    </w:p>
    <w:p w14:paraId="5417F9EC" w14:textId="05F7E9FB" w:rsidR="00E40999" w:rsidRPr="00333919" w:rsidRDefault="00440D6D" w:rsidP="00D1272C">
      <w:pPr>
        <w:spacing w:line="278" w:lineRule="auto"/>
        <w:rPr>
          <w:rFonts w:ascii="Aptos" w:eastAsia="Aptos" w:hAnsi="Aptos" w:cs="Aptos"/>
        </w:rPr>
      </w:pPr>
      <w:r>
        <w:rPr>
          <w:rFonts w:ascii="Aptos" w:eastAsia="Aptos" w:hAnsi="Aptos" w:cs="Aptos"/>
        </w:rPr>
        <w:t xml:space="preserve">Dr. Sarah Connolly: </w:t>
      </w:r>
      <w:r w:rsidR="27614C6C" w:rsidRPr="00333919">
        <w:rPr>
          <w:rFonts w:ascii="Aptos" w:eastAsia="Aptos" w:hAnsi="Aptos" w:cs="Aptos"/>
        </w:rPr>
        <w:t>Welcome to this educational series on practical modeling concepts for public health, brought to you by the Centers for Disease Control and Prevention’s Center for Forecasting and Outbreak Analytics.</w:t>
      </w:r>
      <w:r w:rsidR="4ABFEC27" w:rsidRPr="00333919">
        <w:rPr>
          <w:rFonts w:ascii="Aptos" w:eastAsia="Aptos" w:hAnsi="Aptos" w:cs="Aptos"/>
        </w:rPr>
        <w:t xml:space="preserve"> My name is </w:t>
      </w:r>
      <w:r w:rsidR="0F3AC379" w:rsidRPr="00333919">
        <w:rPr>
          <w:rFonts w:ascii="Aptos" w:eastAsia="Aptos" w:hAnsi="Aptos" w:cs="Aptos"/>
        </w:rPr>
        <w:t xml:space="preserve">Dr. </w:t>
      </w:r>
      <w:r w:rsidR="4ABFEC27" w:rsidRPr="00333919">
        <w:rPr>
          <w:rFonts w:ascii="Aptos" w:eastAsia="Aptos" w:hAnsi="Aptos" w:cs="Aptos"/>
        </w:rPr>
        <w:t>Sarah Connolly.</w:t>
      </w:r>
    </w:p>
    <w:p w14:paraId="57651450" w14:textId="77777777" w:rsidR="00A13F06" w:rsidRDefault="00440D6D" w:rsidP="00D1272C">
      <w:pPr>
        <w:spacing w:after="0" w:line="278" w:lineRule="auto"/>
        <w:rPr>
          <w:rFonts w:ascii="Aptos" w:eastAsia="Aptos" w:hAnsi="Aptos" w:cs="Aptos"/>
        </w:rPr>
      </w:pPr>
      <w:r>
        <w:rPr>
          <w:rFonts w:ascii="Aptos" w:eastAsia="Aptos" w:hAnsi="Aptos" w:cs="Aptos"/>
        </w:rPr>
        <w:t xml:space="preserve">Dr. Mike Cima: </w:t>
      </w:r>
      <w:r w:rsidR="4ABFEC27" w:rsidRPr="00333919">
        <w:rPr>
          <w:rFonts w:ascii="Aptos" w:eastAsia="Aptos" w:hAnsi="Aptos" w:cs="Aptos"/>
        </w:rPr>
        <w:t xml:space="preserve">And I’m </w:t>
      </w:r>
      <w:r w:rsidR="42C9FC6E" w:rsidRPr="00333919">
        <w:rPr>
          <w:rFonts w:ascii="Aptos" w:eastAsia="Aptos" w:hAnsi="Aptos" w:cs="Aptos"/>
        </w:rPr>
        <w:t xml:space="preserve">Dr. </w:t>
      </w:r>
      <w:r w:rsidR="4ABFEC27" w:rsidRPr="00333919">
        <w:rPr>
          <w:rFonts w:ascii="Aptos" w:eastAsia="Aptos" w:hAnsi="Aptos" w:cs="Aptos"/>
        </w:rPr>
        <w:t xml:space="preserve">Mike Cima. We will be your </w:t>
      </w:r>
      <w:proofErr w:type="gramStart"/>
      <w:r w:rsidR="4ABFEC27" w:rsidRPr="00333919">
        <w:rPr>
          <w:rFonts w:ascii="Aptos" w:eastAsia="Aptos" w:hAnsi="Aptos" w:cs="Aptos"/>
        </w:rPr>
        <w:t>guides</w:t>
      </w:r>
      <w:proofErr w:type="gramEnd"/>
      <w:r w:rsidR="4ABFEC27" w:rsidRPr="00333919">
        <w:rPr>
          <w:rFonts w:ascii="Aptos" w:eastAsia="Aptos" w:hAnsi="Aptos" w:cs="Aptos"/>
        </w:rPr>
        <w:t xml:space="preserve"> throughout this series. </w:t>
      </w:r>
      <w:r w:rsidR="27614C6C" w:rsidRPr="00333919">
        <w:rPr>
          <w:rFonts w:ascii="Aptos" w:eastAsia="Aptos" w:hAnsi="Aptos" w:cs="Aptos"/>
        </w:rPr>
        <w:t xml:space="preserve">The objective </w:t>
      </w:r>
      <w:proofErr w:type="gramStart"/>
      <w:r w:rsidR="27614C6C" w:rsidRPr="00333919">
        <w:rPr>
          <w:rFonts w:ascii="Aptos" w:eastAsia="Aptos" w:hAnsi="Aptos" w:cs="Aptos"/>
        </w:rPr>
        <w:t>for</w:t>
      </w:r>
      <w:proofErr w:type="gramEnd"/>
      <w:r w:rsidR="27614C6C" w:rsidRPr="00333919">
        <w:rPr>
          <w:rFonts w:ascii="Aptos" w:eastAsia="Aptos" w:hAnsi="Aptos" w:cs="Aptos"/>
        </w:rPr>
        <w:t xml:space="preserve"> this series is to explore the utility of forecasting and modeling in public health. We will cover this in three ways</w:t>
      </w:r>
      <w:r w:rsidR="00A13F06">
        <w:rPr>
          <w:rFonts w:ascii="Aptos" w:eastAsia="Aptos" w:hAnsi="Aptos" w:cs="Aptos"/>
        </w:rPr>
        <w:t xml:space="preserve">. </w:t>
      </w:r>
    </w:p>
    <w:p w14:paraId="5B1E9C74" w14:textId="1DAEACDC" w:rsidR="00A13F06" w:rsidRDefault="00A13F06" w:rsidP="00D1272C">
      <w:pPr>
        <w:spacing w:after="0" w:line="278" w:lineRule="auto"/>
        <w:rPr>
          <w:rFonts w:ascii="Aptos" w:eastAsia="Aptos" w:hAnsi="Aptos" w:cs="Aptos"/>
          <w:color w:val="FF0000"/>
        </w:rPr>
      </w:pPr>
    </w:p>
    <w:p w14:paraId="5BBD08A0" w14:textId="2077F762" w:rsidR="00DE7BDA" w:rsidRDefault="00DE7BDA" w:rsidP="00D1272C">
      <w:pPr>
        <w:spacing w:after="0" w:line="278" w:lineRule="auto"/>
        <w:rPr>
          <w:rFonts w:ascii="Aptos" w:eastAsia="Aptos" w:hAnsi="Aptos" w:cs="Aptos"/>
          <w:color w:val="FF0000"/>
        </w:rPr>
      </w:pPr>
      <w:r>
        <w:rPr>
          <w:rFonts w:ascii="Aptos" w:eastAsia="Aptos" w:hAnsi="Aptos" w:cs="Aptos"/>
          <w:color w:val="FF0000"/>
        </w:rPr>
        <w:t xml:space="preserve">Slide switches to written Objectives for the training series. </w:t>
      </w:r>
    </w:p>
    <w:p w14:paraId="603794CB" w14:textId="77777777" w:rsidR="00DE7BDA" w:rsidRPr="00A13F06" w:rsidRDefault="00DE7BDA" w:rsidP="00D1272C">
      <w:pPr>
        <w:spacing w:after="0" w:line="278" w:lineRule="auto"/>
        <w:rPr>
          <w:rFonts w:ascii="Aptos" w:eastAsia="Aptos" w:hAnsi="Aptos" w:cs="Aptos"/>
          <w:color w:val="FF0000"/>
        </w:rPr>
      </w:pPr>
    </w:p>
    <w:p w14:paraId="5CA2ADC5" w14:textId="735F0270" w:rsidR="00E40999" w:rsidRDefault="00DE7BDA" w:rsidP="00D1272C">
      <w:pPr>
        <w:spacing w:after="0" w:line="278" w:lineRule="auto"/>
        <w:rPr>
          <w:rFonts w:ascii="Aptos" w:eastAsia="Aptos" w:hAnsi="Aptos" w:cs="Aptos"/>
        </w:rPr>
      </w:pPr>
      <w:r>
        <w:rPr>
          <w:rFonts w:ascii="Aptos" w:eastAsia="Aptos" w:hAnsi="Aptos" w:cs="Aptos"/>
        </w:rPr>
        <w:t xml:space="preserve">Dr. Mike Cima: </w:t>
      </w:r>
      <w:r w:rsidR="27614C6C" w:rsidRPr="00333919">
        <w:rPr>
          <w:rFonts w:ascii="Aptos" w:eastAsia="Aptos" w:hAnsi="Aptos" w:cs="Aptos"/>
        </w:rPr>
        <w:t>First, by learning use cases of forecasting and modeling in public health,</w:t>
      </w:r>
      <w:r w:rsidR="44BD16E9" w:rsidRPr="00333919">
        <w:rPr>
          <w:rFonts w:ascii="Aptos" w:eastAsia="Aptos" w:hAnsi="Aptos" w:cs="Aptos"/>
        </w:rPr>
        <w:t xml:space="preserve"> specifically in infectious disease preparedness and response</w:t>
      </w:r>
      <w:r w:rsidR="27614C6C" w:rsidRPr="00333919">
        <w:rPr>
          <w:rFonts w:ascii="Aptos" w:eastAsia="Aptos" w:hAnsi="Aptos" w:cs="Aptos"/>
        </w:rPr>
        <w:t>. Second, by discussing the interpretation of modeling results for decision making, and third, by practicing communicating model results based on a realistic scenario.</w:t>
      </w:r>
    </w:p>
    <w:p w14:paraId="505B8591" w14:textId="77777777" w:rsidR="0022396A" w:rsidRDefault="0022396A" w:rsidP="00D1272C">
      <w:pPr>
        <w:spacing w:after="0" w:line="278" w:lineRule="auto"/>
        <w:rPr>
          <w:rFonts w:ascii="Aptos" w:eastAsia="Aptos" w:hAnsi="Aptos" w:cs="Aptos"/>
        </w:rPr>
      </w:pPr>
    </w:p>
    <w:p w14:paraId="1F946746" w14:textId="64680B22" w:rsidR="0022396A" w:rsidRDefault="0022396A" w:rsidP="0022396A">
      <w:pPr>
        <w:spacing w:after="0" w:line="278" w:lineRule="auto"/>
        <w:rPr>
          <w:rFonts w:ascii="Aptos" w:eastAsia="Aptos" w:hAnsi="Aptos" w:cs="Aptos"/>
          <w:color w:val="FF0000"/>
        </w:rPr>
      </w:pPr>
      <w:r>
        <w:rPr>
          <w:rFonts w:ascii="Aptos" w:eastAsia="Aptos" w:hAnsi="Aptos" w:cs="Aptos"/>
          <w:color w:val="FF0000"/>
        </w:rPr>
        <w:t xml:space="preserve">Slide switches to written Overview for the training series. </w:t>
      </w:r>
    </w:p>
    <w:p w14:paraId="7FA028FF" w14:textId="77777777" w:rsidR="0022396A" w:rsidRPr="00333919" w:rsidRDefault="0022396A" w:rsidP="00D1272C">
      <w:pPr>
        <w:spacing w:after="0" w:line="278" w:lineRule="auto"/>
        <w:rPr>
          <w:rFonts w:ascii="Aptos" w:eastAsia="Aptos" w:hAnsi="Aptos" w:cs="Aptos"/>
        </w:rPr>
      </w:pPr>
    </w:p>
    <w:p w14:paraId="5712C8C5" w14:textId="78BBAF49" w:rsidR="00E40999" w:rsidRPr="00333919" w:rsidRDefault="0022396A" w:rsidP="00D1272C">
      <w:pPr>
        <w:spacing w:after="0" w:line="278" w:lineRule="auto"/>
        <w:rPr>
          <w:rFonts w:ascii="Aptos" w:eastAsia="Aptos" w:hAnsi="Aptos" w:cs="Aptos"/>
        </w:rPr>
      </w:pPr>
      <w:r>
        <w:rPr>
          <w:rFonts w:ascii="Aptos" w:eastAsia="Aptos" w:hAnsi="Aptos" w:cs="Aptos"/>
        </w:rPr>
        <w:t xml:space="preserve">Dr. Sarah Connolly: </w:t>
      </w:r>
      <w:r w:rsidR="27614C6C" w:rsidRPr="00333919">
        <w:rPr>
          <w:rFonts w:ascii="Aptos" w:eastAsia="Aptos" w:hAnsi="Aptos" w:cs="Aptos"/>
        </w:rPr>
        <w:t>This series is broken into several activity sections. In activity 1, we will cover deciding the best model output for your question and how to communicate with a modeler. It will include an introduction to types of modeling output in public health, specifically in infectious diseases, and then you’ll have the opportunity to work through some example scenarios. In activity 2, you will practice interpreting model output to inform a decision and do this through a decision-making activity. Activity 3 will cover communicating recommendations based on modeling, which will cover an introduction to communicating modeling results and uncertainty, followed by a communication activity. Finally, we'll wrap up. Let's get started.</w:t>
      </w:r>
    </w:p>
    <w:p w14:paraId="0B691A5E" w14:textId="1DB93007" w:rsidR="00E40999" w:rsidRDefault="00E40999" w:rsidP="0F60C0AB">
      <w:pPr>
        <w:spacing w:after="0"/>
      </w:pPr>
    </w:p>
    <w:p w14:paraId="2C078E63" w14:textId="3A5067D4" w:rsidR="00E40999" w:rsidRDefault="00E40999"/>
    <w:sectPr w:rsidR="00E40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9E1C"/>
    <w:multiLevelType w:val="hybridMultilevel"/>
    <w:tmpl w:val="223EFA5A"/>
    <w:lvl w:ilvl="0" w:tplc="F6B4EFF2">
      <w:start w:val="1"/>
      <w:numFmt w:val="bullet"/>
      <w:lvlText w:val="·"/>
      <w:lvlJc w:val="left"/>
      <w:pPr>
        <w:ind w:left="720" w:hanging="360"/>
      </w:pPr>
      <w:rPr>
        <w:rFonts w:ascii="Symbol" w:hAnsi="Symbol" w:hint="default"/>
      </w:rPr>
    </w:lvl>
    <w:lvl w:ilvl="1" w:tplc="C100A0A8">
      <w:start w:val="1"/>
      <w:numFmt w:val="bullet"/>
      <w:lvlText w:val="o"/>
      <w:lvlJc w:val="left"/>
      <w:pPr>
        <w:ind w:left="1440" w:hanging="360"/>
      </w:pPr>
      <w:rPr>
        <w:rFonts w:ascii="Courier New" w:hAnsi="Courier New" w:hint="default"/>
      </w:rPr>
    </w:lvl>
    <w:lvl w:ilvl="2" w:tplc="E2685A08">
      <w:start w:val="1"/>
      <w:numFmt w:val="bullet"/>
      <w:lvlText w:val=""/>
      <w:lvlJc w:val="left"/>
      <w:pPr>
        <w:ind w:left="2160" w:hanging="360"/>
      </w:pPr>
      <w:rPr>
        <w:rFonts w:ascii="Wingdings" w:hAnsi="Wingdings" w:hint="default"/>
      </w:rPr>
    </w:lvl>
    <w:lvl w:ilvl="3" w:tplc="70528218">
      <w:start w:val="1"/>
      <w:numFmt w:val="bullet"/>
      <w:lvlText w:val=""/>
      <w:lvlJc w:val="left"/>
      <w:pPr>
        <w:ind w:left="2880" w:hanging="360"/>
      </w:pPr>
      <w:rPr>
        <w:rFonts w:ascii="Symbol" w:hAnsi="Symbol" w:hint="default"/>
      </w:rPr>
    </w:lvl>
    <w:lvl w:ilvl="4" w:tplc="60A4D6E6">
      <w:start w:val="1"/>
      <w:numFmt w:val="bullet"/>
      <w:lvlText w:val="o"/>
      <w:lvlJc w:val="left"/>
      <w:pPr>
        <w:ind w:left="3600" w:hanging="360"/>
      </w:pPr>
      <w:rPr>
        <w:rFonts w:ascii="Courier New" w:hAnsi="Courier New" w:hint="default"/>
      </w:rPr>
    </w:lvl>
    <w:lvl w:ilvl="5" w:tplc="ECB44D38">
      <w:start w:val="1"/>
      <w:numFmt w:val="bullet"/>
      <w:lvlText w:val=""/>
      <w:lvlJc w:val="left"/>
      <w:pPr>
        <w:ind w:left="4320" w:hanging="360"/>
      </w:pPr>
      <w:rPr>
        <w:rFonts w:ascii="Wingdings" w:hAnsi="Wingdings" w:hint="default"/>
      </w:rPr>
    </w:lvl>
    <w:lvl w:ilvl="6" w:tplc="ED8232CA">
      <w:start w:val="1"/>
      <w:numFmt w:val="bullet"/>
      <w:lvlText w:val=""/>
      <w:lvlJc w:val="left"/>
      <w:pPr>
        <w:ind w:left="5040" w:hanging="360"/>
      </w:pPr>
      <w:rPr>
        <w:rFonts w:ascii="Symbol" w:hAnsi="Symbol" w:hint="default"/>
      </w:rPr>
    </w:lvl>
    <w:lvl w:ilvl="7" w:tplc="DE2A9502">
      <w:start w:val="1"/>
      <w:numFmt w:val="bullet"/>
      <w:lvlText w:val="o"/>
      <w:lvlJc w:val="left"/>
      <w:pPr>
        <w:ind w:left="5760" w:hanging="360"/>
      </w:pPr>
      <w:rPr>
        <w:rFonts w:ascii="Courier New" w:hAnsi="Courier New" w:hint="default"/>
      </w:rPr>
    </w:lvl>
    <w:lvl w:ilvl="8" w:tplc="1AC0A500">
      <w:start w:val="1"/>
      <w:numFmt w:val="bullet"/>
      <w:lvlText w:val=""/>
      <w:lvlJc w:val="left"/>
      <w:pPr>
        <w:ind w:left="6480" w:hanging="360"/>
      </w:pPr>
      <w:rPr>
        <w:rFonts w:ascii="Wingdings" w:hAnsi="Wingdings" w:hint="default"/>
      </w:rPr>
    </w:lvl>
  </w:abstractNum>
  <w:abstractNum w:abstractNumId="1" w15:restartNumberingAfterBreak="0">
    <w:nsid w:val="3D4ADD84"/>
    <w:multiLevelType w:val="hybridMultilevel"/>
    <w:tmpl w:val="497454B2"/>
    <w:lvl w:ilvl="0" w:tplc="A9CC9F86">
      <w:start w:val="1"/>
      <w:numFmt w:val="bullet"/>
      <w:lvlText w:val=""/>
      <w:lvlJc w:val="left"/>
      <w:pPr>
        <w:ind w:left="720" w:hanging="360"/>
      </w:pPr>
      <w:rPr>
        <w:rFonts w:ascii="Symbol" w:hAnsi="Symbol" w:hint="default"/>
      </w:rPr>
    </w:lvl>
    <w:lvl w:ilvl="1" w:tplc="643260E6">
      <w:start w:val="1"/>
      <w:numFmt w:val="bullet"/>
      <w:lvlText w:val="o"/>
      <w:lvlJc w:val="left"/>
      <w:pPr>
        <w:ind w:left="1440" w:hanging="360"/>
      </w:pPr>
      <w:rPr>
        <w:rFonts w:ascii="Courier New" w:hAnsi="Courier New" w:hint="default"/>
      </w:rPr>
    </w:lvl>
    <w:lvl w:ilvl="2" w:tplc="EE4C5E1C">
      <w:start w:val="1"/>
      <w:numFmt w:val="bullet"/>
      <w:lvlText w:val=""/>
      <w:lvlJc w:val="left"/>
      <w:pPr>
        <w:ind w:left="2160" w:hanging="360"/>
      </w:pPr>
      <w:rPr>
        <w:rFonts w:ascii="Wingdings" w:hAnsi="Wingdings" w:hint="default"/>
      </w:rPr>
    </w:lvl>
    <w:lvl w:ilvl="3" w:tplc="D43EF206">
      <w:start w:val="1"/>
      <w:numFmt w:val="bullet"/>
      <w:lvlText w:val=""/>
      <w:lvlJc w:val="left"/>
      <w:pPr>
        <w:ind w:left="2880" w:hanging="360"/>
      </w:pPr>
      <w:rPr>
        <w:rFonts w:ascii="Symbol" w:hAnsi="Symbol" w:hint="default"/>
      </w:rPr>
    </w:lvl>
    <w:lvl w:ilvl="4" w:tplc="70BEAA58">
      <w:start w:val="1"/>
      <w:numFmt w:val="bullet"/>
      <w:lvlText w:val="o"/>
      <w:lvlJc w:val="left"/>
      <w:pPr>
        <w:ind w:left="3600" w:hanging="360"/>
      </w:pPr>
      <w:rPr>
        <w:rFonts w:ascii="Courier New" w:hAnsi="Courier New" w:hint="default"/>
      </w:rPr>
    </w:lvl>
    <w:lvl w:ilvl="5" w:tplc="64209926">
      <w:start w:val="1"/>
      <w:numFmt w:val="bullet"/>
      <w:lvlText w:val=""/>
      <w:lvlJc w:val="left"/>
      <w:pPr>
        <w:ind w:left="4320" w:hanging="360"/>
      </w:pPr>
      <w:rPr>
        <w:rFonts w:ascii="Wingdings" w:hAnsi="Wingdings" w:hint="default"/>
      </w:rPr>
    </w:lvl>
    <w:lvl w:ilvl="6" w:tplc="EF9A6566">
      <w:start w:val="1"/>
      <w:numFmt w:val="bullet"/>
      <w:lvlText w:val=""/>
      <w:lvlJc w:val="left"/>
      <w:pPr>
        <w:ind w:left="5040" w:hanging="360"/>
      </w:pPr>
      <w:rPr>
        <w:rFonts w:ascii="Symbol" w:hAnsi="Symbol" w:hint="default"/>
      </w:rPr>
    </w:lvl>
    <w:lvl w:ilvl="7" w:tplc="58460CCE">
      <w:start w:val="1"/>
      <w:numFmt w:val="bullet"/>
      <w:lvlText w:val="o"/>
      <w:lvlJc w:val="left"/>
      <w:pPr>
        <w:ind w:left="5760" w:hanging="360"/>
      </w:pPr>
      <w:rPr>
        <w:rFonts w:ascii="Courier New" w:hAnsi="Courier New" w:hint="default"/>
      </w:rPr>
    </w:lvl>
    <w:lvl w:ilvl="8" w:tplc="B8F28B92">
      <w:start w:val="1"/>
      <w:numFmt w:val="bullet"/>
      <w:lvlText w:val=""/>
      <w:lvlJc w:val="left"/>
      <w:pPr>
        <w:ind w:left="6480" w:hanging="360"/>
      </w:pPr>
      <w:rPr>
        <w:rFonts w:ascii="Wingdings" w:hAnsi="Wingdings" w:hint="default"/>
      </w:rPr>
    </w:lvl>
  </w:abstractNum>
  <w:abstractNum w:abstractNumId="2" w15:restartNumberingAfterBreak="0">
    <w:nsid w:val="52912B0B"/>
    <w:multiLevelType w:val="hybridMultilevel"/>
    <w:tmpl w:val="4EB85296"/>
    <w:lvl w:ilvl="0" w:tplc="B164BCE2">
      <w:start w:val="1"/>
      <w:numFmt w:val="decimal"/>
      <w:lvlText w:val="%1."/>
      <w:lvlJc w:val="left"/>
      <w:pPr>
        <w:ind w:left="720" w:hanging="360"/>
      </w:pPr>
    </w:lvl>
    <w:lvl w:ilvl="1" w:tplc="AAF04F5E">
      <w:start w:val="1"/>
      <w:numFmt w:val="lowerLetter"/>
      <w:lvlText w:val="%2."/>
      <w:lvlJc w:val="left"/>
      <w:pPr>
        <w:ind w:left="1440" w:hanging="360"/>
      </w:pPr>
    </w:lvl>
    <w:lvl w:ilvl="2" w:tplc="5BB6D75A">
      <w:start w:val="1"/>
      <w:numFmt w:val="lowerRoman"/>
      <w:lvlText w:val="%3."/>
      <w:lvlJc w:val="right"/>
      <w:pPr>
        <w:ind w:left="2160" w:hanging="180"/>
      </w:pPr>
    </w:lvl>
    <w:lvl w:ilvl="3" w:tplc="23C46780">
      <w:start w:val="1"/>
      <w:numFmt w:val="decimal"/>
      <w:lvlText w:val="%4."/>
      <w:lvlJc w:val="left"/>
      <w:pPr>
        <w:ind w:left="2880" w:hanging="360"/>
      </w:pPr>
    </w:lvl>
    <w:lvl w:ilvl="4" w:tplc="315A90FE">
      <w:start w:val="1"/>
      <w:numFmt w:val="lowerLetter"/>
      <w:lvlText w:val="%5."/>
      <w:lvlJc w:val="left"/>
      <w:pPr>
        <w:ind w:left="3600" w:hanging="360"/>
      </w:pPr>
    </w:lvl>
    <w:lvl w:ilvl="5" w:tplc="F23ED486">
      <w:start w:val="1"/>
      <w:numFmt w:val="lowerRoman"/>
      <w:lvlText w:val="%6."/>
      <w:lvlJc w:val="right"/>
      <w:pPr>
        <w:ind w:left="4320" w:hanging="180"/>
      </w:pPr>
    </w:lvl>
    <w:lvl w:ilvl="6" w:tplc="CB90F7D8">
      <w:start w:val="1"/>
      <w:numFmt w:val="decimal"/>
      <w:lvlText w:val="%7."/>
      <w:lvlJc w:val="left"/>
      <w:pPr>
        <w:ind w:left="5040" w:hanging="360"/>
      </w:pPr>
    </w:lvl>
    <w:lvl w:ilvl="7" w:tplc="C50C1224">
      <w:start w:val="1"/>
      <w:numFmt w:val="lowerLetter"/>
      <w:lvlText w:val="%8."/>
      <w:lvlJc w:val="left"/>
      <w:pPr>
        <w:ind w:left="5760" w:hanging="360"/>
      </w:pPr>
    </w:lvl>
    <w:lvl w:ilvl="8" w:tplc="5C8E17F4">
      <w:start w:val="1"/>
      <w:numFmt w:val="lowerRoman"/>
      <w:lvlText w:val="%9."/>
      <w:lvlJc w:val="right"/>
      <w:pPr>
        <w:ind w:left="6480" w:hanging="180"/>
      </w:pPr>
    </w:lvl>
  </w:abstractNum>
  <w:num w:numId="1" w16cid:durableId="688144256">
    <w:abstractNumId w:val="2"/>
  </w:num>
  <w:num w:numId="2" w16cid:durableId="23333941">
    <w:abstractNumId w:val="1"/>
  </w:num>
  <w:num w:numId="3" w16cid:durableId="115206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933B4C"/>
    <w:rsid w:val="00037951"/>
    <w:rsid w:val="0022396A"/>
    <w:rsid w:val="002947B3"/>
    <w:rsid w:val="00333919"/>
    <w:rsid w:val="003770DB"/>
    <w:rsid w:val="00440D6D"/>
    <w:rsid w:val="0044346A"/>
    <w:rsid w:val="007F0164"/>
    <w:rsid w:val="00A01C96"/>
    <w:rsid w:val="00A13F06"/>
    <w:rsid w:val="00C437D1"/>
    <w:rsid w:val="00D1272C"/>
    <w:rsid w:val="00DE7BDA"/>
    <w:rsid w:val="00E019EF"/>
    <w:rsid w:val="00E40999"/>
    <w:rsid w:val="00F93811"/>
    <w:rsid w:val="00FB5765"/>
    <w:rsid w:val="01983C2F"/>
    <w:rsid w:val="06EAC734"/>
    <w:rsid w:val="0F3AC379"/>
    <w:rsid w:val="0F60C0AB"/>
    <w:rsid w:val="1002EB8B"/>
    <w:rsid w:val="12B1B297"/>
    <w:rsid w:val="1370E0C9"/>
    <w:rsid w:val="27614C6C"/>
    <w:rsid w:val="2BD51933"/>
    <w:rsid w:val="2C80FA35"/>
    <w:rsid w:val="32BE1D0B"/>
    <w:rsid w:val="34AA24C4"/>
    <w:rsid w:val="3E653FE9"/>
    <w:rsid w:val="42C9FC6E"/>
    <w:rsid w:val="44BD16E9"/>
    <w:rsid w:val="4ABFEC27"/>
    <w:rsid w:val="4D933B4C"/>
    <w:rsid w:val="653FE4A5"/>
    <w:rsid w:val="6D9F1926"/>
    <w:rsid w:val="76C8A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3B4C"/>
  <w15:chartTrackingRefBased/>
  <w15:docId w15:val="{0B7568F6-F507-437B-AD45-7A8584DD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F60C0AB"/>
    <w:pPr>
      <w:ind w:left="720"/>
      <w:contextualSpacing/>
    </w:pPr>
  </w:style>
  <w:style w:type="character" w:styleId="Hyperlink">
    <w:name w:val="Hyperlink"/>
    <w:basedOn w:val="DefaultParagraphFont"/>
    <w:uiPriority w:val="99"/>
    <w:unhideWhenUsed/>
    <w:rsid w:val="32BE1D0B"/>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BFF58-C0E4-4F21-8D31-502E41401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BC6C4-748B-4A03-B0D5-7B44C168F188}">
  <ds:schemaRefs>
    <ds:schemaRef ds:uri="http://purl.org/dc/terms/"/>
    <ds:schemaRef ds:uri="http://schemas.microsoft.com/office/2006/metadata/properties"/>
    <ds:schemaRef ds:uri="http://schemas.openxmlformats.org/package/2006/metadata/core-properties"/>
    <ds:schemaRef ds:uri="1cb68687-f496-4db3-b5bd-c41440381a4a"/>
    <ds:schemaRef ds:uri="http://purl.org/dc/elements/1.1/"/>
    <ds:schemaRef ds:uri="http://schemas.microsoft.com/office/infopath/2007/PartnerControls"/>
    <ds:schemaRef ds:uri="http://schemas.microsoft.com/office/2006/documentManagement/types"/>
    <ds:schemaRef ds:uri="bd64ead2-f373-4c38-be2a-defab1dc671f"/>
    <ds:schemaRef ds:uri="http://www.w3.org/XML/1998/namespace"/>
    <ds:schemaRef ds:uri="http://purl.org/dc/dcmitype/"/>
  </ds:schemaRefs>
</ds:datastoreItem>
</file>

<file path=customXml/itemProps3.xml><?xml version="1.0" encoding="utf-8"?>
<ds:datastoreItem xmlns:ds="http://schemas.openxmlformats.org/officeDocument/2006/customXml" ds:itemID="{7363B34B-FDB5-4930-9834-C53ACF768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330</Words>
  <Characters>1787</Characters>
  <Application>Microsoft Office Word</Application>
  <DocSecurity>0</DocSecurity>
  <Lines>34</Lines>
  <Paragraphs>10</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Koeller, Sarah (CDC/OD/ORR/CFA)</dc:creator>
  <cp:keywords/>
  <dc:description/>
  <cp:lastModifiedBy>Koeller, Sarah (CDC/OD/ORR/CFA)</cp:lastModifiedBy>
  <cp:revision>17</cp:revision>
  <dcterms:created xsi:type="dcterms:W3CDTF">2026-01-14T18:26:00Z</dcterms:created>
  <dcterms:modified xsi:type="dcterms:W3CDTF">2026-05-21T13:03:00Z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2026-01-14T18:26:20Z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aedcaedc-0451-4479-a87f-e11e8a86d6a0</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