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13D87" w:rsidP="6901AF99" w:rsidRDefault="287A07FB" w14:paraId="292C3A61" w14:textId="1F82C624">
      <w:pPr>
        <w:rPr>
          <w:rFonts w:ascii="Aptos" w:hAnsi="Aptos" w:eastAsia="Aptos" w:cs="Aptos"/>
          <w:b/>
          <w:bCs/>
          <w:color w:val="000000" w:themeColor="text1"/>
        </w:rPr>
      </w:pPr>
      <w:r w:rsidRPr="0FBCE564">
        <w:rPr>
          <w:rFonts w:ascii="Aptos" w:hAnsi="Aptos" w:eastAsia="Aptos" w:cs="Aptos"/>
          <w:b/>
          <w:bCs/>
          <w:color w:val="000000" w:themeColor="text1"/>
        </w:rPr>
        <w:t xml:space="preserve">Practical Modeling Concepts for Public Health - </w:t>
      </w:r>
      <w:r w:rsidRPr="0FBCE564" w:rsidR="55AEAB4E">
        <w:rPr>
          <w:rFonts w:ascii="Aptos" w:hAnsi="Aptos" w:eastAsia="Aptos" w:cs="Aptos"/>
          <w:b/>
          <w:bCs/>
          <w:color w:val="000000" w:themeColor="text1"/>
        </w:rPr>
        <w:t>VIDEO 5</w:t>
      </w:r>
      <w:r w:rsidRPr="0FBCE564">
        <w:rPr>
          <w:rFonts w:ascii="Aptos" w:hAnsi="Aptos" w:eastAsia="Aptos" w:cs="Aptos"/>
          <w:b/>
          <w:bCs/>
          <w:color w:val="000000" w:themeColor="text1"/>
        </w:rPr>
        <w:t xml:space="preserve"> </w:t>
      </w:r>
      <w:r w:rsidRPr="0FBCE564" w:rsidR="55AEAB4E">
        <w:rPr>
          <w:rFonts w:ascii="Aptos" w:hAnsi="Aptos" w:eastAsia="Aptos" w:cs="Aptos"/>
          <w:b/>
          <w:bCs/>
          <w:color w:val="000000" w:themeColor="text1"/>
        </w:rPr>
        <w:t>- Sarah Connolly</w:t>
      </w:r>
    </w:p>
    <w:p w:rsidR="39FB53A4" w:rsidP="0FBCE564" w:rsidRDefault="39FB53A4" w14:paraId="25093FA9" w14:textId="0040F8EA">
      <w:pPr>
        <w:rPr>
          <w:rFonts w:ascii="Aptos" w:hAnsi="Aptos" w:eastAsia="Aptos" w:cs="Aptos"/>
          <w:color w:val="FF0000"/>
        </w:rPr>
      </w:pPr>
      <w:r w:rsidRPr="0FBCE564">
        <w:rPr>
          <w:rFonts w:ascii="Aptos" w:hAnsi="Aptos" w:eastAsia="Aptos" w:cs="Aptos"/>
          <w:color w:val="FF0000"/>
        </w:rPr>
        <w:t>The spot opens with a blue screen with the CDC logo in the corner and a title that reads: “</w:t>
      </w:r>
      <w:r w:rsidRPr="0FBCE564" w:rsidR="04471A20">
        <w:rPr>
          <w:rFonts w:ascii="Aptos" w:hAnsi="Aptos" w:eastAsia="Aptos" w:cs="Aptos"/>
          <w:color w:val="FF0000"/>
        </w:rPr>
        <w:t>Short-term forecasts</w:t>
      </w:r>
      <w:r w:rsidRPr="0FBCE564">
        <w:rPr>
          <w:rFonts w:ascii="Aptos" w:hAnsi="Aptos" w:eastAsia="Aptos" w:cs="Aptos"/>
          <w:color w:val="FF0000"/>
        </w:rPr>
        <w:t>.</w:t>
      </w:r>
      <w:r w:rsidRPr="0FBCE564" w:rsidR="566DFDFA">
        <w:rPr>
          <w:rFonts w:ascii="Aptos" w:hAnsi="Aptos" w:eastAsia="Aptos" w:cs="Aptos"/>
          <w:color w:val="FF0000"/>
        </w:rPr>
        <w:t xml:space="preserve"> Practical Modeling Concepts for Public </w:t>
      </w:r>
      <w:proofErr w:type="gramStart"/>
      <w:r w:rsidRPr="0FBCE564" w:rsidR="566DFDFA">
        <w:rPr>
          <w:rFonts w:ascii="Aptos" w:hAnsi="Aptos" w:eastAsia="Aptos" w:cs="Aptos"/>
          <w:color w:val="FF0000"/>
        </w:rPr>
        <w:t xml:space="preserve">Health </w:t>
      </w:r>
      <w:r w:rsidRPr="0FBCE564">
        <w:rPr>
          <w:rFonts w:ascii="Aptos" w:hAnsi="Aptos" w:eastAsia="Aptos" w:cs="Aptos"/>
          <w:color w:val="FF0000"/>
        </w:rPr>
        <w:t>”</w:t>
      </w:r>
      <w:proofErr w:type="gramEnd"/>
    </w:p>
    <w:p w:rsidR="39FB53A4" w:rsidP="0FBCE564" w:rsidRDefault="39FB53A4" w14:paraId="22B6A746" w14:textId="017A2D29">
      <w:pPr>
        <w:rPr>
          <w:rFonts w:ascii="Aptos" w:hAnsi="Aptos" w:eastAsia="Aptos" w:cs="Aptos"/>
          <w:color w:val="FF0000"/>
        </w:rPr>
      </w:pPr>
      <w:r w:rsidRPr="0FBCE564">
        <w:rPr>
          <w:rFonts w:ascii="Aptos" w:hAnsi="Aptos" w:eastAsia="Aptos" w:cs="Aptos"/>
          <w:color w:val="FF0000"/>
        </w:rPr>
        <w:t>The spot cuts to a white woman with long brown hair and a black shirt, Dr. Sarah Connolly, talking to the camera while standing in front of a solid blue background. Dr. Connolly speaks.</w:t>
      </w:r>
    </w:p>
    <w:p w:rsidRPr="001F4FF4" w:rsidR="00413D87" w:rsidP="001F4FF4" w:rsidRDefault="55AEAB4E" w14:paraId="33F4EC0F" w14:textId="5B457831">
      <w:pPr>
        <w:rPr>
          <w:rFonts w:ascii="Aptos" w:hAnsi="Aptos" w:eastAsia="Aptos" w:cs="Aptos"/>
          <w:color w:val="000000" w:themeColor="text1"/>
        </w:rPr>
      </w:pPr>
      <w:r w:rsidRPr="0FBCE564">
        <w:rPr>
          <w:rFonts w:ascii="Aptos" w:hAnsi="Aptos" w:eastAsia="Aptos" w:cs="Aptos"/>
          <w:color w:val="000000" w:themeColor="text1"/>
        </w:rPr>
        <w:t>This section will discuss short-term forecasting for infectious diseases.</w:t>
      </w:r>
    </w:p>
    <w:p w:rsidR="00BB2D6A" w:rsidP="00BB2D6A" w:rsidRDefault="00BB2D6A" w14:paraId="0FDBBB42" w14:textId="5E81B578">
      <w:pPr>
        <w:spacing w:after="0"/>
        <w:rPr>
          <w:rFonts w:ascii="Aptos" w:hAnsi="Aptos" w:eastAsia="Aptos" w:cs="Aptos"/>
          <w:color w:val="FF0000"/>
        </w:rPr>
      </w:pPr>
      <w:r w:rsidRPr="003D2934">
        <w:rPr>
          <w:rFonts w:ascii="Aptos" w:hAnsi="Aptos" w:eastAsia="Aptos" w:cs="Aptos"/>
          <w:color w:val="FF0000"/>
        </w:rPr>
        <w:t>Slide is shown on the screen that describes “Different types of qualitative assessments and modeling outputs are useful at different horizons.” Slide includes a blue</w:t>
      </w:r>
      <w:r>
        <w:rPr>
          <w:rFonts w:ascii="Aptos" w:hAnsi="Aptos" w:eastAsia="Aptos" w:cs="Aptos"/>
          <w:color w:val="FF0000"/>
        </w:rPr>
        <w:t xml:space="preserve"> themed</w:t>
      </w:r>
      <w:r w:rsidRPr="003D2934">
        <w:rPr>
          <w:rFonts w:ascii="Aptos" w:hAnsi="Aptos" w:eastAsia="Aptos" w:cs="Aptos"/>
          <w:color w:val="FF0000"/>
        </w:rPr>
        <w:t xml:space="preserve"> timeseries image, the “horizon,” with arrows showing points on the timeseries to illustrate nowcasts, short-term forecasts, and scenario models at points in time. A box describing qualitative assessments is along the top of the </w:t>
      </w:r>
      <w:proofErr w:type="gramStart"/>
      <w:r w:rsidRPr="003D2934">
        <w:rPr>
          <w:rFonts w:ascii="Aptos" w:hAnsi="Aptos" w:eastAsia="Aptos" w:cs="Aptos"/>
          <w:color w:val="FF0000"/>
        </w:rPr>
        <w:t>timeseries</w:t>
      </w:r>
      <w:proofErr w:type="gramEnd"/>
      <w:r w:rsidRPr="003D2934">
        <w:rPr>
          <w:rFonts w:ascii="Aptos" w:hAnsi="Aptos" w:eastAsia="Aptos" w:cs="Aptos"/>
          <w:color w:val="FF0000"/>
        </w:rPr>
        <w:t xml:space="preserve"> image. </w:t>
      </w:r>
      <w:r>
        <w:rPr>
          <w:rFonts w:ascii="Aptos" w:hAnsi="Aptos" w:eastAsia="Aptos" w:cs="Aptos"/>
          <w:color w:val="FF0000"/>
        </w:rPr>
        <w:t>Dr. Connolly speaks.</w:t>
      </w:r>
    </w:p>
    <w:p w:rsidR="00BB2D6A" w:rsidP="00BB2D6A" w:rsidRDefault="00BB2D6A" w14:paraId="1D872B0E" w14:textId="77777777">
      <w:pPr>
        <w:spacing w:after="0"/>
        <w:rPr>
          <w:rFonts w:ascii="Aptos" w:hAnsi="Aptos" w:eastAsia="Aptos" w:cs="Aptos"/>
          <w:color w:val="FF0000"/>
        </w:rPr>
      </w:pPr>
    </w:p>
    <w:p w:rsidRPr="001F4FF4" w:rsidR="00413D87" w:rsidP="001F4FF4" w:rsidRDefault="55AEAB4E" w14:paraId="2641F42F" w14:textId="5EFEB400">
      <w:pPr>
        <w:rPr>
          <w:rFonts w:ascii="Aptos" w:hAnsi="Aptos" w:eastAsia="Aptos" w:cs="Aptos"/>
          <w:color w:val="000000" w:themeColor="text1"/>
        </w:rPr>
      </w:pPr>
      <w:r w:rsidRPr="0FBCE564">
        <w:rPr>
          <w:rFonts w:ascii="Aptos" w:hAnsi="Aptos" w:eastAsia="Aptos" w:cs="Aptos"/>
          <w:color w:val="000000" w:themeColor="text1"/>
        </w:rPr>
        <w:t xml:space="preserve">Different types of qualitative assessments and modeling outputs are useful at different horizons. </w:t>
      </w:r>
    </w:p>
    <w:p w:rsidR="7817CF29" w:rsidP="0FBCE564" w:rsidRDefault="7817CF29" w14:paraId="27744FF5" w14:textId="6A9967E8">
      <w:pPr>
        <w:rPr>
          <w:rFonts w:ascii="Aptos" w:hAnsi="Aptos" w:eastAsia="Aptos" w:cs="Aptos"/>
          <w:color w:val="FF0000"/>
        </w:rPr>
      </w:pPr>
      <w:r w:rsidRPr="0FBCE564">
        <w:rPr>
          <w:rFonts w:ascii="Aptos" w:hAnsi="Aptos" w:eastAsia="Aptos" w:cs="Aptos"/>
          <w:color w:val="FF0000"/>
        </w:rPr>
        <w:t xml:space="preserve">The spot </w:t>
      </w:r>
      <w:r w:rsidRPr="0FBCE564" w:rsidR="15BC7B87">
        <w:rPr>
          <w:rFonts w:ascii="Aptos" w:hAnsi="Aptos" w:eastAsia="Aptos" w:cs="Aptos"/>
          <w:color w:val="FF0000"/>
        </w:rPr>
        <w:t>highlights the portion of the timeline titled “short-term forecasts”, outlining what is it, why is it useful, and example inputs.</w:t>
      </w:r>
      <w:r w:rsidRPr="00BB2D6A" w:rsidR="00BB2D6A">
        <w:rPr>
          <w:rFonts w:ascii="Aptos" w:hAnsi="Aptos" w:eastAsia="Aptos" w:cs="Aptos"/>
          <w:color w:val="FF0000"/>
        </w:rPr>
        <w:t xml:space="preserve"> </w:t>
      </w:r>
      <w:r w:rsidR="00BB2D6A">
        <w:rPr>
          <w:rFonts w:ascii="Aptos" w:hAnsi="Aptos" w:eastAsia="Aptos" w:cs="Aptos"/>
          <w:color w:val="FF0000"/>
        </w:rPr>
        <w:t>Dr. Connolly speaks.</w:t>
      </w:r>
    </w:p>
    <w:p w:rsidRPr="001F4FF4" w:rsidR="00413D87" w:rsidP="001F4FF4" w:rsidRDefault="4CEDA9C8" w14:paraId="0C1C5B57" w14:textId="551F507F">
      <w:pPr>
        <w:rPr>
          <w:rFonts w:ascii="Aptos" w:hAnsi="Aptos" w:eastAsia="Aptos" w:cs="Aptos"/>
          <w:color w:val="000000" w:themeColor="text1"/>
        </w:rPr>
      </w:pPr>
      <w:r w:rsidRPr="001F4FF4">
        <w:rPr>
          <w:rFonts w:ascii="Aptos" w:hAnsi="Aptos" w:eastAsia="Aptos" w:cs="Aptos"/>
          <w:color w:val="000000" w:themeColor="text1"/>
        </w:rPr>
        <w:t>Short-term forecasts predict disease burden in the coming days and weeks</w:t>
      </w:r>
    </w:p>
    <w:p w:rsidR="55AEAB4E" w:rsidP="0FBCE564" w:rsidRDefault="55AEAB4E" w14:paraId="2ABBC476" w14:textId="5612DD94">
      <w:pPr>
        <w:rPr>
          <w:rFonts w:ascii="Aptos" w:hAnsi="Aptos" w:eastAsia="Aptos" w:cs="Aptos"/>
          <w:color w:val="000000" w:themeColor="text1"/>
        </w:rPr>
      </w:pPr>
      <w:r w:rsidRPr="0FBCE564">
        <w:rPr>
          <w:rFonts w:ascii="Aptos" w:hAnsi="Aptos" w:eastAsia="Aptos" w:cs="Aptos"/>
          <w:color w:val="000000" w:themeColor="text1"/>
        </w:rPr>
        <w:t xml:space="preserve">Short-term forecasts are produced as a measure of potential disease </w:t>
      </w:r>
      <w:proofErr w:type="gramStart"/>
      <w:r w:rsidRPr="0FBCE564">
        <w:rPr>
          <w:rFonts w:ascii="Aptos" w:hAnsi="Aptos" w:eastAsia="Aptos" w:cs="Aptos"/>
          <w:color w:val="000000" w:themeColor="text1"/>
        </w:rPr>
        <w:t>burden, and</w:t>
      </w:r>
      <w:proofErr w:type="gramEnd"/>
      <w:r w:rsidRPr="0FBCE564">
        <w:rPr>
          <w:rFonts w:ascii="Aptos" w:hAnsi="Aptos" w:eastAsia="Aptos" w:cs="Aptos"/>
          <w:color w:val="000000" w:themeColor="text1"/>
        </w:rPr>
        <w:t xml:space="preserve"> can be especially helpful for public health practitioners and decision-makers when determining communication strategies and resource planning. Example inputs for short-term forecasts can include surveillance data and measures such as </w:t>
      </w:r>
      <w:r w:rsidRPr="0FBCE564">
        <w:rPr>
          <w:rFonts w:ascii="Aptos" w:hAnsi="Aptos" w:eastAsia="Aptos" w:cs="Aptos"/>
          <w:i/>
          <w:iCs/>
          <w:color w:val="000000" w:themeColor="text1"/>
        </w:rPr>
        <w:t>R</w:t>
      </w:r>
      <w:r w:rsidRPr="0FBCE564">
        <w:rPr>
          <w:rFonts w:ascii="Aptos" w:hAnsi="Aptos" w:eastAsia="Aptos" w:cs="Aptos"/>
          <w:i/>
          <w:iCs/>
          <w:color w:val="000000" w:themeColor="text1"/>
          <w:vertAlign w:val="subscript"/>
        </w:rPr>
        <w:t>t</w:t>
      </w:r>
      <w:r w:rsidRPr="0FBCE564">
        <w:rPr>
          <w:rFonts w:ascii="Aptos" w:hAnsi="Aptos" w:eastAsia="Aptos" w:cs="Aptos"/>
          <w:color w:val="000000" w:themeColor="text1"/>
        </w:rPr>
        <w:t xml:space="preserve"> (the time-varying reproduction number). </w:t>
      </w:r>
    </w:p>
    <w:p w:rsidR="12507E69" w:rsidP="0FBCE564" w:rsidRDefault="12507E69" w14:paraId="139556CA" w14:textId="1A340CCB">
      <w:pPr>
        <w:rPr>
          <w:rFonts w:ascii="Aptos" w:hAnsi="Aptos" w:eastAsia="Aptos" w:cs="Aptos"/>
          <w:color w:val="FF0000"/>
        </w:rPr>
      </w:pPr>
      <w:r w:rsidRPr="0FBCE564">
        <w:rPr>
          <w:rFonts w:ascii="Aptos" w:hAnsi="Aptos" w:eastAsia="Aptos" w:cs="Aptos"/>
          <w:color w:val="FF0000"/>
        </w:rPr>
        <w:t xml:space="preserve">A slide titled “short-term forecasts project disease burden over time” is shown. </w:t>
      </w:r>
      <w:r w:rsidR="00BB2D6A">
        <w:rPr>
          <w:rFonts w:ascii="Aptos" w:hAnsi="Aptos" w:eastAsia="Aptos" w:cs="Aptos"/>
          <w:color w:val="FF0000"/>
        </w:rPr>
        <w:t>Dr. Connolly speaks.</w:t>
      </w:r>
    </w:p>
    <w:p w:rsidRPr="001F4FF4" w:rsidR="00413D87" w:rsidP="001F4FF4" w:rsidRDefault="55AEAB4E" w14:paraId="6E8188EE" w14:textId="75E1F69E">
      <w:pPr>
        <w:rPr>
          <w:rFonts w:ascii="Aptos" w:hAnsi="Aptos" w:eastAsia="Aptos" w:cs="Aptos"/>
          <w:color w:val="000000" w:themeColor="text1"/>
        </w:rPr>
      </w:pPr>
      <w:r w:rsidRPr="0FBCE564">
        <w:rPr>
          <w:rFonts w:ascii="Aptos" w:hAnsi="Aptos" w:eastAsia="Aptos" w:cs="Aptos"/>
          <w:color w:val="000000" w:themeColor="text1"/>
        </w:rPr>
        <w:t>Forecasts give a sense of the direction of change, and the absolute expected burden of disease. These forecasts provide estimates, often over a few weeks, and include a measure of uncertainty. They are usually most accurate at short time intervals, and different types of forecasting models are used for acute outbreaks versus more predictable seasonal diseases. Due to variation among individual model methods, parameters, assumptions, and input data, ensemble models can be more accurate on average compared to any single model.</w:t>
      </w:r>
    </w:p>
    <w:p w:rsidR="79AB8AA4" w:rsidP="0FBCE564" w:rsidRDefault="79AB8AA4" w14:paraId="42F6219D" w14:textId="778A5108">
      <w:pPr>
        <w:rPr>
          <w:rFonts w:ascii="Aptos" w:hAnsi="Aptos" w:eastAsia="Aptos" w:cs="Aptos"/>
          <w:color w:val="000000" w:themeColor="text1"/>
        </w:rPr>
      </w:pPr>
      <w:r w:rsidRPr="0FBCE564">
        <w:rPr>
          <w:rFonts w:ascii="Aptos" w:hAnsi="Aptos" w:eastAsia="Aptos" w:cs="Aptos"/>
          <w:color w:val="FF0000"/>
        </w:rPr>
        <w:t xml:space="preserve">The spot cuts back to Dr. </w:t>
      </w:r>
      <w:r w:rsidR="00BB2D6A">
        <w:rPr>
          <w:rFonts w:ascii="Aptos" w:hAnsi="Aptos" w:eastAsia="Aptos" w:cs="Aptos"/>
          <w:color w:val="FF0000"/>
        </w:rPr>
        <w:t>Connolly and she speaks.</w:t>
      </w:r>
    </w:p>
    <w:p w:rsidRPr="001F4FF4" w:rsidR="00413D87" w:rsidP="0FBCE564" w:rsidRDefault="00413D87" w14:paraId="40834BCE" w14:textId="457BABCE">
      <w:pPr>
        <w:rPr>
          <w:rFonts w:ascii="Aptos" w:hAnsi="Aptos" w:eastAsia="Aptos" w:cs="Aptos"/>
          <w:color w:val="000000" w:themeColor="text1"/>
        </w:rPr>
      </w:pPr>
      <w:r w:rsidRPr="3CEE83E5" w:rsidR="59E2A575">
        <w:rPr>
          <w:rFonts w:ascii="Aptos" w:hAnsi="Aptos" w:eastAsia="Aptos" w:cs="Aptos"/>
          <w:color w:val="000000" w:themeColor="text1" w:themeTint="FF" w:themeShade="FF"/>
        </w:rPr>
        <w:t>Because combining, or ‘</w:t>
      </w:r>
      <w:r w:rsidRPr="3CEE83E5" w:rsidR="59E2A575">
        <w:rPr>
          <w:rFonts w:ascii="Aptos" w:hAnsi="Aptos" w:eastAsia="Aptos" w:cs="Aptos"/>
          <w:color w:val="000000" w:themeColor="text1" w:themeTint="FF" w:themeShade="FF"/>
        </w:rPr>
        <w:t>ensembling</w:t>
      </w:r>
      <w:r w:rsidRPr="3CEE83E5" w:rsidR="59E2A575">
        <w:rPr>
          <w:rFonts w:ascii="Aptos" w:hAnsi="Aptos" w:eastAsia="Aptos" w:cs="Aptos"/>
          <w:color w:val="000000" w:themeColor="text1" w:themeTint="FF" w:themeShade="FF"/>
        </w:rPr>
        <w:t xml:space="preserve">’ models is often beneficial, forecasting “Hubs” have been </w:t>
      </w:r>
      <w:r w:rsidRPr="3CEE83E5" w:rsidR="59E2A575">
        <w:rPr>
          <w:rFonts w:ascii="Aptos" w:hAnsi="Aptos" w:eastAsia="Aptos" w:cs="Aptos"/>
          <w:color w:val="000000" w:themeColor="text1" w:themeTint="FF" w:themeShade="FF"/>
        </w:rPr>
        <w:t>established</w:t>
      </w:r>
      <w:r w:rsidRPr="3CEE83E5" w:rsidR="59E2A575">
        <w:rPr>
          <w:rFonts w:ascii="Aptos" w:hAnsi="Aptos" w:eastAsia="Aptos" w:cs="Aptos"/>
          <w:color w:val="000000" w:themeColor="text1" w:themeTint="FF" w:themeShade="FF"/>
        </w:rPr>
        <w:t xml:space="preserve"> to bring together multiple models to show a more complete picture of potential forecasts. </w:t>
      </w:r>
    </w:p>
    <w:p w:rsidRPr="001F4FF4" w:rsidR="00413D87" w:rsidP="0FBCE564" w:rsidRDefault="59741D6A" w14:paraId="2DE6BF1E" w14:textId="72746C74">
      <w:pPr>
        <w:rPr>
          <w:rFonts w:ascii="Aptos" w:hAnsi="Aptos" w:eastAsia="Aptos" w:cs="Aptos"/>
          <w:color w:val="FF0000"/>
        </w:rPr>
      </w:pPr>
      <w:r w:rsidRPr="0FBCE564">
        <w:rPr>
          <w:rFonts w:ascii="Aptos" w:hAnsi="Aptos" w:eastAsia="Aptos" w:cs="Aptos"/>
          <w:color w:val="FF0000"/>
        </w:rPr>
        <w:t>A slide showing an example from the COVID-19 Forecast Hub, displaying four models, is shown. The x-axis is date and the y-axis is incident weekly hospital admissions.</w:t>
      </w:r>
      <w:r w:rsidRPr="00BB2D6A" w:rsidR="00BB2D6A">
        <w:rPr>
          <w:rFonts w:ascii="Aptos" w:hAnsi="Aptos" w:eastAsia="Aptos" w:cs="Aptos"/>
          <w:color w:val="FF0000"/>
        </w:rPr>
        <w:t xml:space="preserve"> </w:t>
      </w:r>
      <w:r w:rsidR="00BB2D6A">
        <w:rPr>
          <w:rFonts w:ascii="Aptos" w:hAnsi="Aptos" w:eastAsia="Aptos" w:cs="Aptos"/>
          <w:color w:val="FF0000"/>
        </w:rPr>
        <w:t>Dr. Connolly speaks.</w:t>
      </w:r>
    </w:p>
    <w:p w:rsidRPr="001F4FF4" w:rsidR="00413D87" w:rsidP="001F4FF4" w:rsidRDefault="55AEAB4E" w14:paraId="42C7D6A5" w14:textId="093D159B">
      <w:pPr>
        <w:rPr>
          <w:rFonts w:ascii="Aptos" w:hAnsi="Aptos" w:eastAsia="Aptos" w:cs="Aptos"/>
          <w:color w:val="000000" w:themeColor="text1"/>
        </w:rPr>
      </w:pPr>
      <w:r w:rsidRPr="0FBCE564">
        <w:rPr>
          <w:rFonts w:ascii="Aptos" w:hAnsi="Aptos" w:eastAsia="Aptos" w:cs="Aptos"/>
          <w:color w:val="000000" w:themeColor="text1"/>
        </w:rPr>
        <w:t xml:space="preserve">This is an example from the COVID-19 Forecast Hub which </w:t>
      </w:r>
      <w:r w:rsidRPr="0FBCE564" w:rsidR="4756745F">
        <w:rPr>
          <w:rFonts w:ascii="Aptos" w:hAnsi="Aptos" w:eastAsia="Aptos" w:cs="Aptos"/>
          <w:color w:val="000000" w:themeColor="text1"/>
        </w:rPr>
        <w:t>predicts</w:t>
      </w:r>
      <w:r w:rsidRPr="0FBCE564">
        <w:rPr>
          <w:rFonts w:ascii="Aptos" w:hAnsi="Aptos" w:eastAsia="Aptos" w:cs="Aptos"/>
          <w:color w:val="000000" w:themeColor="text1"/>
        </w:rPr>
        <w:t xml:space="preserve"> COVID-19 Hospital Admissions in the United States. It shows the different estimates in different colors, alongside the ensembled estimate. </w:t>
      </w:r>
    </w:p>
    <w:p w:rsidR="7529A2CB" w:rsidP="0FBCE564" w:rsidRDefault="7529A2CB" w14:paraId="55D5CF5F" w14:textId="5892F8A7">
      <w:pPr>
        <w:rPr>
          <w:rFonts w:ascii="Aptos" w:hAnsi="Aptos" w:eastAsia="Aptos" w:cs="Aptos"/>
          <w:color w:val="FF0000"/>
        </w:rPr>
      </w:pPr>
      <w:r w:rsidRPr="0FBCE564">
        <w:rPr>
          <w:rFonts w:ascii="Aptos" w:hAnsi="Aptos" w:eastAsia="Aptos" w:cs="Aptos"/>
          <w:color w:val="FF0000"/>
        </w:rPr>
        <w:t>A slide showing observed hospital data (represented by black dots) over time appears.</w:t>
      </w:r>
      <w:r w:rsidRPr="00BB2D6A" w:rsidR="00BB2D6A">
        <w:rPr>
          <w:rFonts w:ascii="Aptos" w:hAnsi="Aptos" w:eastAsia="Aptos" w:cs="Aptos"/>
          <w:color w:val="FF0000"/>
        </w:rPr>
        <w:t xml:space="preserve"> </w:t>
      </w:r>
      <w:r w:rsidR="00BB2D6A">
        <w:rPr>
          <w:rFonts w:ascii="Aptos" w:hAnsi="Aptos" w:eastAsia="Aptos" w:cs="Aptos"/>
          <w:color w:val="FF0000"/>
        </w:rPr>
        <w:t>Dr. Connolly speaks.</w:t>
      </w:r>
    </w:p>
    <w:p w:rsidRPr="001F4FF4" w:rsidR="00413D87" w:rsidP="001F4FF4" w:rsidRDefault="55AEAB4E" w14:paraId="44EE998C" w14:textId="7D6C29AD">
      <w:pPr>
        <w:rPr>
          <w:rFonts w:ascii="Aptos" w:hAnsi="Aptos" w:eastAsia="Aptos" w:cs="Aptos"/>
          <w:color w:val="000000" w:themeColor="text1"/>
        </w:rPr>
      </w:pPr>
      <w:r w:rsidRPr="0FBCE564">
        <w:rPr>
          <w:rFonts w:ascii="Aptos" w:hAnsi="Aptos" w:eastAsia="Aptos" w:cs="Aptos"/>
          <w:color w:val="000000" w:themeColor="text1"/>
        </w:rPr>
        <w:t xml:space="preserve">Sometimes, incorporating a variety of data inputs can improve short-term forecasts. This is an example from a previous forecasting model that CDC developed, which utilized both hospital admission data and emergency department visit data to predict hospital admissions in the coming weeks. Here, at the date of the dotted vertical line, the black dots show what hospital admissions had already been reported. </w:t>
      </w:r>
    </w:p>
    <w:p w:rsidR="43AE7CA8" w:rsidP="0FBCE564" w:rsidRDefault="43AE7CA8" w14:paraId="531B1DC1" w14:textId="2FAA3658">
      <w:pPr>
        <w:rPr>
          <w:rFonts w:ascii="Aptos" w:hAnsi="Aptos" w:eastAsia="Aptos" w:cs="Aptos"/>
          <w:color w:val="FF0000"/>
        </w:rPr>
      </w:pPr>
      <w:r w:rsidRPr="0FBCE564">
        <w:rPr>
          <w:rFonts w:ascii="Aptos" w:hAnsi="Aptos" w:eastAsia="Aptos" w:cs="Aptos"/>
          <w:color w:val="FF0000"/>
        </w:rPr>
        <w:t xml:space="preserve">Forecasted hospital admissions </w:t>
      </w:r>
      <w:r w:rsidRPr="0FBCE564" w:rsidR="10449F33">
        <w:rPr>
          <w:rFonts w:ascii="Aptos" w:hAnsi="Aptos" w:eastAsia="Aptos" w:cs="Aptos"/>
          <w:color w:val="FF0000"/>
        </w:rPr>
        <w:t xml:space="preserve">using hospital data </w:t>
      </w:r>
      <w:r w:rsidRPr="0FBCE564">
        <w:rPr>
          <w:rFonts w:ascii="Aptos" w:hAnsi="Aptos" w:eastAsia="Aptos" w:cs="Aptos"/>
          <w:color w:val="FF0000"/>
        </w:rPr>
        <w:t>are added to the slide with orange prediction intervals.</w:t>
      </w:r>
      <w:r w:rsidRPr="00BB2D6A" w:rsidR="00BB2D6A">
        <w:rPr>
          <w:rFonts w:ascii="Aptos" w:hAnsi="Aptos" w:eastAsia="Aptos" w:cs="Aptos"/>
          <w:color w:val="FF0000"/>
        </w:rPr>
        <w:t xml:space="preserve"> </w:t>
      </w:r>
      <w:r w:rsidR="00BB2D6A">
        <w:rPr>
          <w:rFonts w:ascii="Aptos" w:hAnsi="Aptos" w:eastAsia="Aptos" w:cs="Aptos"/>
          <w:color w:val="FF0000"/>
        </w:rPr>
        <w:t>Dr. Connolly speaks.</w:t>
      </w:r>
    </w:p>
    <w:p w:rsidRPr="001F4FF4" w:rsidR="00413D87" w:rsidP="001F4FF4" w:rsidRDefault="55AEAB4E" w14:paraId="230E1F3C" w14:textId="0107A7EA">
      <w:pPr>
        <w:rPr>
          <w:rFonts w:ascii="Aptos" w:hAnsi="Aptos" w:eastAsia="Aptos" w:cs="Aptos"/>
          <w:color w:val="000000" w:themeColor="text1"/>
        </w:rPr>
      </w:pPr>
      <w:r w:rsidRPr="0FBCE564">
        <w:rPr>
          <w:rFonts w:ascii="Aptos" w:hAnsi="Aptos" w:eastAsia="Aptos" w:cs="Aptos"/>
          <w:color w:val="000000" w:themeColor="text1"/>
        </w:rPr>
        <w:t>The forecast of hospital admissions that was generated using only the reported hospital admission data (shown in orange) predicted a decline.</w:t>
      </w:r>
    </w:p>
    <w:p w:rsidR="7BF3CEC9" w:rsidP="0FBCE564" w:rsidRDefault="7BF3CEC9" w14:paraId="046EC3EE" w14:textId="2D8B6F23">
      <w:pPr>
        <w:rPr>
          <w:rFonts w:ascii="Aptos" w:hAnsi="Aptos" w:eastAsia="Aptos" w:cs="Aptos"/>
          <w:color w:val="FF0000"/>
        </w:rPr>
      </w:pPr>
      <w:r w:rsidRPr="0FBCE564">
        <w:rPr>
          <w:rFonts w:ascii="Aptos" w:hAnsi="Aptos" w:eastAsia="Aptos" w:cs="Aptos"/>
          <w:color w:val="FF0000"/>
        </w:rPr>
        <w:t xml:space="preserve">Forecasted hospital admissions </w:t>
      </w:r>
      <w:r w:rsidRPr="0FBCE564" w:rsidR="7672611E">
        <w:rPr>
          <w:rFonts w:ascii="Aptos" w:hAnsi="Aptos" w:eastAsia="Aptos" w:cs="Aptos"/>
          <w:color w:val="FF0000"/>
        </w:rPr>
        <w:t>using hospital data and ED visit data are added to the slide with blue prediction intervals.</w:t>
      </w:r>
      <w:r w:rsidRPr="00BB2D6A" w:rsidR="00BB2D6A">
        <w:rPr>
          <w:rFonts w:ascii="Aptos" w:hAnsi="Aptos" w:eastAsia="Aptos" w:cs="Aptos"/>
          <w:color w:val="FF0000"/>
        </w:rPr>
        <w:t xml:space="preserve"> </w:t>
      </w:r>
      <w:r w:rsidR="00BB2D6A">
        <w:rPr>
          <w:rFonts w:ascii="Aptos" w:hAnsi="Aptos" w:eastAsia="Aptos" w:cs="Aptos"/>
          <w:color w:val="FF0000"/>
        </w:rPr>
        <w:t>Dr. Connolly speaks.</w:t>
      </w:r>
    </w:p>
    <w:p w:rsidRPr="001F4FF4" w:rsidR="00413D87" w:rsidP="001F4FF4" w:rsidRDefault="55AEAB4E" w14:paraId="1E5D988D" w14:textId="53E83091">
      <w:pPr>
        <w:rPr>
          <w:rFonts w:ascii="Aptos" w:hAnsi="Aptos" w:eastAsia="Aptos" w:cs="Aptos"/>
          <w:color w:val="000000" w:themeColor="text1"/>
        </w:rPr>
      </w:pPr>
      <w:r w:rsidRPr="0FBCE564">
        <w:rPr>
          <w:rFonts w:ascii="Aptos" w:hAnsi="Aptos" w:eastAsia="Aptos" w:cs="Aptos"/>
          <w:color w:val="000000" w:themeColor="text1"/>
        </w:rPr>
        <w:t xml:space="preserve">However, the forecast </w:t>
      </w:r>
      <w:proofErr w:type="gramStart"/>
      <w:r w:rsidRPr="0FBCE564">
        <w:rPr>
          <w:rFonts w:ascii="Aptos" w:hAnsi="Aptos" w:eastAsia="Aptos" w:cs="Aptos"/>
          <w:color w:val="000000" w:themeColor="text1"/>
        </w:rPr>
        <w:t>that used</w:t>
      </w:r>
      <w:proofErr w:type="gramEnd"/>
      <w:r w:rsidRPr="0FBCE564">
        <w:rPr>
          <w:rFonts w:ascii="Aptos" w:hAnsi="Aptos" w:eastAsia="Aptos" w:cs="Aptos"/>
          <w:color w:val="000000" w:themeColor="text1"/>
        </w:rPr>
        <w:t xml:space="preserve"> BOTH hospital admission data and emergency department visit data (in blue) changed the prediction.</w:t>
      </w:r>
    </w:p>
    <w:p w:rsidR="22F4CEE4" w:rsidP="0FBCE564" w:rsidRDefault="22F4CEE4" w14:paraId="2E159A74" w14:textId="59335BAB">
      <w:pPr>
        <w:rPr>
          <w:rFonts w:ascii="Aptos" w:hAnsi="Aptos" w:eastAsia="Aptos" w:cs="Aptos"/>
          <w:color w:val="FF0000"/>
        </w:rPr>
      </w:pPr>
      <w:r w:rsidRPr="0FBCE564">
        <w:rPr>
          <w:rFonts w:ascii="Aptos" w:hAnsi="Aptos" w:eastAsia="Aptos" w:cs="Aptos"/>
          <w:color w:val="FF0000"/>
        </w:rPr>
        <w:t xml:space="preserve">Forecasted hospital admissions using hospital data and ED visit data (in blue) are shown to most closely align with observed data (black dots) on slide. </w:t>
      </w:r>
      <w:r w:rsidR="00BB2D6A">
        <w:rPr>
          <w:rFonts w:ascii="Aptos" w:hAnsi="Aptos" w:eastAsia="Aptos" w:cs="Aptos"/>
          <w:color w:val="FF0000"/>
        </w:rPr>
        <w:t>Dr. Connolly speaks.</w:t>
      </w:r>
    </w:p>
    <w:p w:rsidRPr="001F4FF4" w:rsidR="00413D87" w:rsidP="001F4FF4" w:rsidRDefault="55AEAB4E" w14:paraId="30E5BAFD" w14:textId="27389481">
      <w:pPr>
        <w:rPr>
          <w:rFonts w:ascii="Aptos" w:hAnsi="Aptos" w:eastAsia="Aptos" w:cs="Aptos"/>
          <w:color w:val="000000" w:themeColor="text1"/>
        </w:rPr>
      </w:pPr>
      <w:r w:rsidRPr="0FBCE564">
        <w:rPr>
          <w:rFonts w:ascii="Aptos" w:hAnsi="Aptos" w:eastAsia="Aptos" w:cs="Aptos"/>
          <w:color w:val="000000" w:themeColor="text1"/>
        </w:rPr>
        <w:t xml:space="preserve">The </w:t>
      </w:r>
      <w:proofErr w:type="gramStart"/>
      <w:r w:rsidRPr="0FBCE564" w:rsidR="0CD1DC04">
        <w:rPr>
          <w:rFonts w:ascii="Aptos" w:hAnsi="Aptos" w:eastAsia="Aptos" w:cs="Aptos"/>
          <w:color w:val="000000" w:themeColor="text1"/>
        </w:rPr>
        <w:t>eventual</w:t>
      </w:r>
      <w:proofErr w:type="gramEnd"/>
      <w:r w:rsidRPr="0FBCE564" w:rsidR="0CD1DC04">
        <w:rPr>
          <w:rFonts w:ascii="Aptos" w:hAnsi="Aptos" w:eastAsia="Aptos" w:cs="Aptos"/>
          <w:color w:val="000000" w:themeColor="text1"/>
        </w:rPr>
        <w:t xml:space="preserve"> </w:t>
      </w:r>
      <w:r w:rsidRPr="0FBCE564">
        <w:rPr>
          <w:rFonts w:ascii="Aptos" w:hAnsi="Aptos" w:eastAsia="Aptos" w:cs="Aptos"/>
          <w:color w:val="000000" w:themeColor="text1"/>
        </w:rPr>
        <w:t xml:space="preserve">observed hospital admission data are shown in the white dots. They much more closely mirrored the blue forecast that used both hospital admission and emergency department visit data. However, as with many models, a more complete evaluation of this model also showed instances when the emergency department visit data made no difference or was misleading. </w:t>
      </w:r>
    </w:p>
    <w:p w:rsidR="3C14A7E4" w:rsidP="0FBCE564" w:rsidRDefault="3C14A7E4" w14:paraId="10BA5A5E" w14:textId="225093AD">
      <w:pPr>
        <w:rPr>
          <w:rFonts w:ascii="Aptos" w:hAnsi="Aptos" w:eastAsia="Aptos" w:cs="Aptos"/>
          <w:color w:val="FF0000"/>
        </w:rPr>
      </w:pPr>
      <w:r w:rsidRPr="0FBCE564">
        <w:rPr>
          <w:rFonts w:ascii="Aptos" w:hAnsi="Aptos" w:eastAsia="Aptos" w:cs="Aptos"/>
          <w:color w:val="FF0000"/>
        </w:rPr>
        <w:t xml:space="preserve">Cut to a slide titled “coverage can help us evaluate model performance”. The slide shows a forecast over time, with the x-axis being </w:t>
      </w:r>
      <w:proofErr w:type="gramStart"/>
      <w:r w:rsidRPr="0FBCE564">
        <w:rPr>
          <w:rFonts w:ascii="Aptos" w:hAnsi="Aptos" w:eastAsia="Aptos" w:cs="Aptos"/>
          <w:color w:val="FF0000"/>
        </w:rPr>
        <w:t>date</w:t>
      </w:r>
      <w:proofErr w:type="gramEnd"/>
      <w:r w:rsidRPr="0FBCE564">
        <w:rPr>
          <w:rFonts w:ascii="Aptos" w:hAnsi="Aptos" w:eastAsia="Aptos" w:cs="Aptos"/>
          <w:color w:val="FF0000"/>
        </w:rPr>
        <w:t xml:space="preserve"> and the y-axis being weekly hospital admissions. Five examples of prediction intervals are displayed in green at various points. </w:t>
      </w:r>
      <w:r w:rsidR="00BB2D6A">
        <w:rPr>
          <w:rFonts w:ascii="Aptos" w:hAnsi="Aptos" w:eastAsia="Aptos" w:cs="Aptos"/>
          <w:color w:val="FF0000"/>
        </w:rPr>
        <w:t>Dr. Connolly speaks.</w:t>
      </w:r>
    </w:p>
    <w:p w:rsidRPr="001F4FF4" w:rsidR="00413D87" w:rsidP="0FBCE564" w:rsidRDefault="55AEAB4E" w14:paraId="1E9C7420" w14:textId="487EDDFC">
      <w:pPr>
        <w:rPr>
          <w:rFonts w:ascii="Aptos" w:hAnsi="Aptos" w:eastAsia="Aptos" w:cs="Aptos"/>
          <w:color w:val="000000" w:themeColor="text1"/>
        </w:rPr>
      </w:pPr>
      <w:r w:rsidRPr="0FBCE564">
        <w:rPr>
          <w:rFonts w:ascii="Aptos" w:hAnsi="Aptos" w:eastAsia="Aptos" w:cs="Aptos"/>
          <w:color w:val="000000" w:themeColor="text1"/>
        </w:rPr>
        <w:t xml:space="preserve"> One way to evaluate model performance is through coverage, which examines if the prediction intervals of a forecast contain observed data. The figure shows national weekly observed influenza hospital admissions (</w:t>
      </w:r>
      <w:r w:rsidRPr="0FBCE564" w:rsidR="43426900">
        <w:rPr>
          <w:rFonts w:ascii="Aptos" w:hAnsi="Aptos" w:eastAsia="Aptos" w:cs="Aptos"/>
          <w:color w:val="000000" w:themeColor="text1"/>
        </w:rPr>
        <w:t xml:space="preserve">in </w:t>
      </w:r>
      <w:r w:rsidRPr="0FBCE564">
        <w:rPr>
          <w:rFonts w:ascii="Aptos" w:hAnsi="Aptos" w:eastAsia="Aptos" w:cs="Aptos"/>
          <w:color w:val="000000" w:themeColor="text1"/>
        </w:rPr>
        <w:t xml:space="preserve">black dots) along with an ensemble forecast with 50% and 95% prediction intervals shown in green. When </w:t>
      </w:r>
      <w:proofErr w:type="gramStart"/>
      <w:r w:rsidRPr="0FBCE564">
        <w:rPr>
          <w:rFonts w:ascii="Aptos" w:hAnsi="Aptos" w:eastAsia="Aptos" w:cs="Aptos"/>
          <w:color w:val="000000" w:themeColor="text1"/>
        </w:rPr>
        <w:t>observed data</w:t>
      </w:r>
      <w:proofErr w:type="gramEnd"/>
      <w:r w:rsidRPr="0FBCE564">
        <w:rPr>
          <w:rFonts w:ascii="Aptos" w:hAnsi="Aptos" w:eastAsia="Aptos" w:cs="Aptos"/>
          <w:color w:val="000000" w:themeColor="text1"/>
        </w:rPr>
        <w:t xml:space="preserve"> fall within the prediction intervals, the forecast was successful in predicting future values. When the observed data </w:t>
      </w:r>
      <w:proofErr w:type="gramStart"/>
      <w:r w:rsidRPr="0FBCE564">
        <w:rPr>
          <w:rFonts w:ascii="Aptos" w:hAnsi="Aptos" w:eastAsia="Aptos" w:cs="Aptos"/>
          <w:color w:val="000000" w:themeColor="text1"/>
        </w:rPr>
        <w:t>do</w:t>
      </w:r>
      <w:proofErr w:type="gramEnd"/>
      <w:r w:rsidRPr="0FBCE564">
        <w:rPr>
          <w:rFonts w:ascii="Aptos" w:hAnsi="Aptos" w:eastAsia="Aptos" w:cs="Aptos"/>
          <w:color w:val="000000" w:themeColor="text1"/>
        </w:rPr>
        <w:t xml:space="preserve"> not fall within the prediction intervals, the forecast failed at that point in time. </w:t>
      </w:r>
    </w:p>
    <w:p w:rsidRPr="001F4FF4" w:rsidR="00413D87" w:rsidP="0FBCE564" w:rsidRDefault="69571FEB" w14:paraId="2DE64409" w14:textId="3B16EE72">
      <w:pPr>
        <w:rPr>
          <w:rFonts w:ascii="Aptos" w:hAnsi="Aptos" w:eastAsia="Aptos" w:cs="Aptos"/>
          <w:color w:val="FF0000"/>
        </w:rPr>
      </w:pPr>
      <w:r w:rsidRPr="0FBCE564">
        <w:rPr>
          <w:rFonts w:ascii="Aptos" w:hAnsi="Aptos" w:eastAsia="Aptos" w:cs="Aptos"/>
          <w:color w:val="FF0000"/>
        </w:rPr>
        <w:t xml:space="preserve">Cut back to Dr. Sarah Connolly. </w:t>
      </w:r>
    </w:p>
    <w:p w:rsidRPr="001F4FF4" w:rsidR="00413D87" w:rsidP="001F4FF4" w:rsidRDefault="55AEAB4E" w14:paraId="678DDDBC" w14:textId="57D9B98B">
      <w:pPr>
        <w:rPr>
          <w:rFonts w:ascii="Aptos" w:hAnsi="Aptos" w:eastAsia="Aptos" w:cs="Aptos"/>
          <w:color w:val="000000" w:themeColor="text1"/>
        </w:rPr>
      </w:pPr>
      <w:r w:rsidRPr="0FBCE564">
        <w:rPr>
          <w:rFonts w:ascii="Aptos" w:hAnsi="Aptos" w:eastAsia="Aptos" w:cs="Aptos"/>
          <w:color w:val="000000" w:themeColor="text1"/>
        </w:rPr>
        <w:t xml:space="preserve">It’s important to evaluate model performance to ensure that the various combinations of data sources and the model are the most informative they can be for public health decision-making.  </w:t>
      </w:r>
    </w:p>
    <w:p w:rsidRPr="001F4FF4" w:rsidR="00413D87" w:rsidP="001F4FF4" w:rsidRDefault="4CEDA9C8" w14:paraId="6A39BE2B" w14:textId="0113DA31">
      <w:pPr>
        <w:rPr>
          <w:rFonts w:ascii="Aptos" w:hAnsi="Aptos" w:eastAsia="Aptos" w:cs="Aptos"/>
          <w:color w:val="000000" w:themeColor="text1"/>
        </w:rPr>
      </w:pPr>
      <w:r w:rsidRPr="001F4FF4">
        <w:rPr>
          <w:rFonts w:ascii="Aptos" w:hAnsi="Aptos" w:eastAsia="Aptos" w:cs="Aptos"/>
          <w:color w:val="000000" w:themeColor="text1"/>
        </w:rPr>
        <w:t>Short-term forecasts can predict disease burden over days and weeks, and they can be enhanced by incorporating multiple models and data inputs.</w:t>
      </w:r>
    </w:p>
    <w:p w:rsidR="00413D87" w:rsidRDefault="00413D87" w14:paraId="2C078E63" w14:textId="16888713"/>
    <w:sectPr w:rsidR="00413D87">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MS Mincho">
    <w:altName w:val="ＭＳ 明朝"/>
    <w:panose1 w:val="02020609040205080304"/>
    <w:charset w:val="80"/>
    <w:family w:val="roman"/>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0000000000000000000"/>
    <w:charset w:val="00"/>
    <w:family w:val="roman"/>
    <w:notTrueType/>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9F32FD"/>
    <w:multiLevelType w:val="hybridMultilevel"/>
    <w:tmpl w:val="23A48F4A"/>
    <w:lvl w:ilvl="0" w:tplc="8DAEBC22">
      <w:start w:val="1"/>
      <w:numFmt w:val="bullet"/>
      <w:lvlText w:val=""/>
      <w:lvlJc w:val="left"/>
      <w:pPr>
        <w:ind w:left="720" w:hanging="360"/>
      </w:pPr>
      <w:rPr>
        <w:rFonts w:hint="default" w:ascii="Symbol" w:hAnsi="Symbol"/>
      </w:rPr>
    </w:lvl>
    <w:lvl w:ilvl="1" w:tplc="06E841D6">
      <w:start w:val="1"/>
      <w:numFmt w:val="bullet"/>
      <w:lvlText w:val="o"/>
      <w:lvlJc w:val="left"/>
      <w:pPr>
        <w:ind w:left="1440" w:hanging="360"/>
      </w:pPr>
      <w:rPr>
        <w:rFonts w:hint="default" w:ascii="Courier New" w:hAnsi="Courier New"/>
      </w:rPr>
    </w:lvl>
    <w:lvl w:ilvl="2" w:tplc="1694714E">
      <w:start w:val="1"/>
      <w:numFmt w:val="bullet"/>
      <w:lvlText w:val=""/>
      <w:lvlJc w:val="left"/>
      <w:pPr>
        <w:ind w:left="2160" w:hanging="360"/>
      </w:pPr>
      <w:rPr>
        <w:rFonts w:hint="default" w:ascii="Wingdings" w:hAnsi="Wingdings"/>
      </w:rPr>
    </w:lvl>
    <w:lvl w:ilvl="3" w:tplc="4FD4E52C">
      <w:start w:val="1"/>
      <w:numFmt w:val="bullet"/>
      <w:lvlText w:val=""/>
      <w:lvlJc w:val="left"/>
      <w:pPr>
        <w:ind w:left="2880" w:hanging="360"/>
      </w:pPr>
      <w:rPr>
        <w:rFonts w:hint="default" w:ascii="Symbol" w:hAnsi="Symbol"/>
      </w:rPr>
    </w:lvl>
    <w:lvl w:ilvl="4" w:tplc="55AC3022">
      <w:start w:val="1"/>
      <w:numFmt w:val="bullet"/>
      <w:lvlText w:val="o"/>
      <w:lvlJc w:val="left"/>
      <w:pPr>
        <w:ind w:left="3600" w:hanging="360"/>
      </w:pPr>
      <w:rPr>
        <w:rFonts w:hint="default" w:ascii="Courier New" w:hAnsi="Courier New"/>
      </w:rPr>
    </w:lvl>
    <w:lvl w:ilvl="5" w:tplc="F2427D5A">
      <w:start w:val="1"/>
      <w:numFmt w:val="bullet"/>
      <w:lvlText w:val=""/>
      <w:lvlJc w:val="left"/>
      <w:pPr>
        <w:ind w:left="4320" w:hanging="360"/>
      </w:pPr>
      <w:rPr>
        <w:rFonts w:hint="default" w:ascii="Wingdings" w:hAnsi="Wingdings"/>
      </w:rPr>
    </w:lvl>
    <w:lvl w:ilvl="6" w:tplc="89DC53D4">
      <w:start w:val="1"/>
      <w:numFmt w:val="bullet"/>
      <w:lvlText w:val=""/>
      <w:lvlJc w:val="left"/>
      <w:pPr>
        <w:ind w:left="5040" w:hanging="360"/>
      </w:pPr>
      <w:rPr>
        <w:rFonts w:hint="default" w:ascii="Symbol" w:hAnsi="Symbol"/>
      </w:rPr>
    </w:lvl>
    <w:lvl w:ilvl="7" w:tplc="64547BF0">
      <w:start w:val="1"/>
      <w:numFmt w:val="bullet"/>
      <w:lvlText w:val="o"/>
      <w:lvlJc w:val="left"/>
      <w:pPr>
        <w:ind w:left="5760" w:hanging="360"/>
      </w:pPr>
      <w:rPr>
        <w:rFonts w:hint="default" w:ascii="Courier New" w:hAnsi="Courier New"/>
      </w:rPr>
    </w:lvl>
    <w:lvl w:ilvl="8" w:tplc="15B07370">
      <w:start w:val="1"/>
      <w:numFmt w:val="bullet"/>
      <w:lvlText w:val=""/>
      <w:lvlJc w:val="left"/>
      <w:pPr>
        <w:ind w:left="6480" w:hanging="360"/>
      </w:pPr>
      <w:rPr>
        <w:rFonts w:hint="default" w:ascii="Wingdings" w:hAnsi="Wingdings"/>
      </w:rPr>
    </w:lvl>
  </w:abstractNum>
  <w:abstractNum w:abstractNumId="1" w15:restartNumberingAfterBreak="0">
    <w:nsid w:val="713F55DB"/>
    <w:multiLevelType w:val="hybridMultilevel"/>
    <w:tmpl w:val="FFFFFFFF"/>
    <w:lvl w:ilvl="0" w:tplc="16448CDC">
      <w:start w:val="40"/>
      <w:numFmt w:val="decimal"/>
      <w:lvlText w:val="%1."/>
      <w:lvlJc w:val="left"/>
      <w:pPr>
        <w:ind w:left="720" w:hanging="360"/>
      </w:pPr>
    </w:lvl>
    <w:lvl w:ilvl="1" w:tplc="58E02594">
      <w:start w:val="1"/>
      <w:numFmt w:val="lowerLetter"/>
      <w:lvlText w:val="%2."/>
      <w:lvlJc w:val="left"/>
      <w:pPr>
        <w:ind w:left="1440" w:hanging="360"/>
      </w:pPr>
    </w:lvl>
    <w:lvl w:ilvl="2" w:tplc="1A84B432">
      <w:start w:val="1"/>
      <w:numFmt w:val="lowerRoman"/>
      <w:lvlText w:val="%3."/>
      <w:lvlJc w:val="right"/>
      <w:pPr>
        <w:ind w:left="2160" w:hanging="180"/>
      </w:pPr>
    </w:lvl>
    <w:lvl w:ilvl="3" w:tplc="58121424">
      <w:start w:val="1"/>
      <w:numFmt w:val="decimal"/>
      <w:lvlText w:val="%4."/>
      <w:lvlJc w:val="left"/>
      <w:pPr>
        <w:ind w:left="2880" w:hanging="360"/>
      </w:pPr>
    </w:lvl>
    <w:lvl w:ilvl="4" w:tplc="2BF0F2A4">
      <w:start w:val="1"/>
      <w:numFmt w:val="lowerLetter"/>
      <w:lvlText w:val="%5."/>
      <w:lvlJc w:val="left"/>
      <w:pPr>
        <w:ind w:left="3600" w:hanging="360"/>
      </w:pPr>
    </w:lvl>
    <w:lvl w:ilvl="5" w:tplc="1AF212AA">
      <w:start w:val="1"/>
      <w:numFmt w:val="lowerRoman"/>
      <w:lvlText w:val="%6."/>
      <w:lvlJc w:val="right"/>
      <w:pPr>
        <w:ind w:left="4320" w:hanging="180"/>
      </w:pPr>
    </w:lvl>
    <w:lvl w:ilvl="6" w:tplc="764804FC">
      <w:start w:val="1"/>
      <w:numFmt w:val="decimal"/>
      <w:lvlText w:val="%7."/>
      <w:lvlJc w:val="left"/>
      <w:pPr>
        <w:ind w:left="5040" w:hanging="360"/>
      </w:pPr>
    </w:lvl>
    <w:lvl w:ilvl="7" w:tplc="824631D0">
      <w:start w:val="1"/>
      <w:numFmt w:val="lowerLetter"/>
      <w:lvlText w:val="%8."/>
      <w:lvlJc w:val="left"/>
      <w:pPr>
        <w:ind w:left="5760" w:hanging="360"/>
      </w:pPr>
    </w:lvl>
    <w:lvl w:ilvl="8" w:tplc="5AB668BC">
      <w:start w:val="1"/>
      <w:numFmt w:val="lowerRoman"/>
      <w:lvlText w:val="%9."/>
      <w:lvlJc w:val="right"/>
      <w:pPr>
        <w:ind w:left="6480" w:hanging="180"/>
      </w:pPr>
    </w:lvl>
  </w:abstractNum>
  <w:num w:numId="1" w16cid:durableId="270092037">
    <w:abstractNumId w:val="0"/>
  </w:num>
  <w:num w:numId="2" w16cid:durableId="485828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dirty"/>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2DF1817"/>
    <w:rsid w:val="00174D6C"/>
    <w:rsid w:val="001F4FF4"/>
    <w:rsid w:val="00224BDB"/>
    <w:rsid w:val="003D380D"/>
    <w:rsid w:val="00413D87"/>
    <w:rsid w:val="005E1BF5"/>
    <w:rsid w:val="007F0164"/>
    <w:rsid w:val="00A511D0"/>
    <w:rsid w:val="00A93C79"/>
    <w:rsid w:val="00BB2D6A"/>
    <w:rsid w:val="00C42988"/>
    <w:rsid w:val="00D2538E"/>
    <w:rsid w:val="01450F93"/>
    <w:rsid w:val="044125A7"/>
    <w:rsid w:val="04471A20"/>
    <w:rsid w:val="0A858AEF"/>
    <w:rsid w:val="0BEC149D"/>
    <w:rsid w:val="0C620B63"/>
    <w:rsid w:val="0CD1DC04"/>
    <w:rsid w:val="0E8694EE"/>
    <w:rsid w:val="0FBCE564"/>
    <w:rsid w:val="10449F33"/>
    <w:rsid w:val="106A0338"/>
    <w:rsid w:val="12507E69"/>
    <w:rsid w:val="13D90222"/>
    <w:rsid w:val="15BC7B87"/>
    <w:rsid w:val="201E4091"/>
    <w:rsid w:val="22F4CEE4"/>
    <w:rsid w:val="26B9420E"/>
    <w:rsid w:val="287A07FB"/>
    <w:rsid w:val="2EDECC4D"/>
    <w:rsid w:val="307F554E"/>
    <w:rsid w:val="30843B35"/>
    <w:rsid w:val="3108650C"/>
    <w:rsid w:val="3175B660"/>
    <w:rsid w:val="328C0168"/>
    <w:rsid w:val="36E6C26E"/>
    <w:rsid w:val="39E020C6"/>
    <w:rsid w:val="39FB53A4"/>
    <w:rsid w:val="3A7C1463"/>
    <w:rsid w:val="3C14A7E4"/>
    <w:rsid w:val="3CEE83E5"/>
    <w:rsid w:val="4243465A"/>
    <w:rsid w:val="43281E35"/>
    <w:rsid w:val="43426900"/>
    <w:rsid w:val="43AE7CA8"/>
    <w:rsid w:val="4756745F"/>
    <w:rsid w:val="4CEDA9C8"/>
    <w:rsid w:val="4F8A1582"/>
    <w:rsid w:val="50D3B04D"/>
    <w:rsid w:val="50DCA17F"/>
    <w:rsid w:val="52D8AA38"/>
    <w:rsid w:val="52E50AF3"/>
    <w:rsid w:val="55AEAB4E"/>
    <w:rsid w:val="560C20A0"/>
    <w:rsid w:val="566DFDFA"/>
    <w:rsid w:val="57F35123"/>
    <w:rsid w:val="59741D6A"/>
    <w:rsid w:val="59E2A575"/>
    <w:rsid w:val="5C482B43"/>
    <w:rsid w:val="61DBB22F"/>
    <w:rsid w:val="64ABE35E"/>
    <w:rsid w:val="6506CC0E"/>
    <w:rsid w:val="66A7329E"/>
    <w:rsid w:val="6901AF99"/>
    <w:rsid w:val="69571FEB"/>
    <w:rsid w:val="69A7F5CD"/>
    <w:rsid w:val="6B1F4CBD"/>
    <w:rsid w:val="6C05B541"/>
    <w:rsid w:val="6F56A012"/>
    <w:rsid w:val="7236E712"/>
    <w:rsid w:val="72DF1817"/>
    <w:rsid w:val="7529A2CB"/>
    <w:rsid w:val="7672611E"/>
    <w:rsid w:val="772D79E7"/>
    <w:rsid w:val="7817CF29"/>
    <w:rsid w:val="79AB8AA4"/>
    <w:rsid w:val="7BF3CEC9"/>
    <w:rsid w:val="7C184C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D95A4"/>
  <w15:chartTrackingRefBased/>
  <w15:docId w15:val="{82793571-AECF-4849-89E8-E7308007C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pPr>
      <w:ind w:left="720"/>
      <w:contextualSpacing/>
    </w:pPr>
  </w:style>
  <w:style w:type="character" w:styleId="Hyperlink">
    <w:name w:val="Hyperlink"/>
    <w:basedOn w:val="DefaultParagraphFont"/>
    <w:uiPriority w:val="99"/>
    <w:unhideWhenUsed/>
    <w:rsid w:val="6901AF99"/>
    <w:rPr>
      <w:color w:val="467886"/>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theme" Target="theme/theme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FDAA29431A8DA49804376CA5319AE7A" ma:contentTypeVersion="19" ma:contentTypeDescription="Create a new document." ma:contentTypeScope="" ma:versionID="5bb01d0f1fb9bd5b4ec27a9f0e37d9f9">
  <xsd:schema xmlns:xsd="http://www.w3.org/2001/XMLSchema" xmlns:xs="http://www.w3.org/2001/XMLSchema" xmlns:p="http://schemas.microsoft.com/office/2006/metadata/properties" xmlns:ns2="1cb68687-f496-4db3-b5bd-c41440381a4a" xmlns:ns3="bd64ead2-f373-4c38-be2a-defab1dc671f" targetNamespace="http://schemas.microsoft.com/office/2006/metadata/properties" ma:root="true" ma:fieldsID="b707fdd7629902fc37ccb1c38626cf2a" ns2:_="" ns3:_="">
    <xsd:import namespace="1cb68687-f496-4db3-b5bd-c41440381a4a"/>
    <xsd:import namespace="bd64ead2-f373-4c38-be2a-defab1dc67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2:lcf76f155ced4ddcb4097134ff3c332f" minOccurs="0"/>
                <xsd:element ref="ns3:TaxCatchAll" minOccurs="0"/>
                <xsd:element ref="ns2:MediaLengthInSeconds" minOccurs="0"/>
                <xsd:element ref="ns2:LastUpdated" minOccurs="0"/>
                <xsd:element ref="ns2:MediaServiceObjectDetectorVersions" minOccurs="0"/>
                <xsd:element ref="ns2:MediaServiceSearchProperties" minOccurs="0"/>
                <xsd:element ref="ns2:MediaServiceBillingMetadata"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68687-f496-4db3-b5bd-c41440381a4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LastUpdated" ma:index="22" nillable="true" ma:displayName="Last Updated" ma:format="Dropdown" ma:list="UserInfo" ma:SharePointGroup="0" ma:internalName="LastUpdat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element name="person" ma:index="26" nillable="true" ma:displayName="person" ma:format="Dropdown"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d64ead2-f373-4c38-be2a-defab1dc67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7060a78-bed5-4d0a-88a0-4d94b125b162}" ma:internalName="TaxCatchAll" ma:showField="CatchAllData" ma:web="bd64ead2-f373-4c38-be2a-defab1dc67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astUpdated xmlns="1cb68687-f496-4db3-b5bd-c41440381a4a">
      <UserInfo>
        <DisplayName/>
        <AccountId xsi:nil="true"/>
        <AccountType/>
      </UserInfo>
    </LastUpdated>
    <TaxCatchAll xmlns="bd64ead2-f373-4c38-be2a-defab1dc671f" xsi:nil="true"/>
    <lcf76f155ced4ddcb4097134ff3c332f xmlns="1cb68687-f496-4db3-b5bd-c41440381a4a">
      <Terms xmlns="http://schemas.microsoft.com/office/infopath/2007/PartnerControls"/>
    </lcf76f155ced4ddcb4097134ff3c332f>
    <person xmlns="1cb68687-f496-4db3-b5bd-c41440381a4a">
      <UserInfo>
        <DisplayName/>
        <AccountId xsi:nil="true"/>
        <AccountType/>
      </UserInfo>
    </pers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00211C-8722-4879-B1A7-DFA8834EAC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68687-f496-4db3-b5bd-c41440381a4a"/>
    <ds:schemaRef ds:uri="bd64ead2-f373-4c38-be2a-defab1dc6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FB859A-AB08-4029-B8A7-B333CE5FADFA}">
  <ds:schemaRefs>
    <ds:schemaRef ds:uri="http://schemas.microsoft.com/office/2006/documentManagement/types"/>
    <ds:schemaRef ds:uri="http://www.w3.org/XML/1998/namespace"/>
    <ds:schemaRef ds:uri="bd64ead2-f373-4c38-be2a-defab1dc671f"/>
    <ds:schemaRef ds:uri="http://schemas.microsoft.com/office/2006/metadata/properties"/>
    <ds:schemaRef ds:uri="http://schemas.openxmlformats.org/package/2006/metadata/core-properties"/>
    <ds:schemaRef ds:uri="http://purl.org/dc/elements/1.1/"/>
    <ds:schemaRef ds:uri="http://purl.org/dc/dcmitype/"/>
    <ds:schemaRef ds:uri="http://schemas.microsoft.com/office/infopath/2007/PartnerControls"/>
    <ds:schemaRef ds:uri="1cb68687-f496-4db3-b5bd-c41440381a4a"/>
    <ds:schemaRef ds:uri="http://purl.org/dc/terms/"/>
  </ds:schemaRefs>
</ds:datastoreItem>
</file>

<file path=customXml/itemProps3.xml><?xml version="1.0" encoding="utf-8"?>
<ds:datastoreItem xmlns:ds="http://schemas.openxmlformats.org/officeDocument/2006/customXml" ds:itemID="{EFFE1AFF-D424-4D3F-9E20-006A58BE1D63}">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Connolly, Sarah (CDC/OD/ORR/CFA)</dc:creator>
  <keywords/>
  <dc:description/>
  <lastModifiedBy>Koeller, Sarah (CDC/OD/ORR/CFA)</lastModifiedBy>
  <revision>10</revision>
  <dcterms:created xsi:type="dcterms:W3CDTF">2026-05-20T18:28:00.0000000Z</dcterms:created>
  <dcterms:modified xsi:type="dcterms:W3CDTF">2026-05-21T19:23:58.7571481Z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0x010100CFDAA29431A8DA49804376CA5319AE7A</vt:lpwstr>
  </property>
  <property fmtid="{D5CDD505-2E9C-101B-9397-08002B2CF9AE}" pid="3" name="MSIP_Label_7b94a7b8-f06c-4dfe-bdcc-9b548fd58c31_Enabled">
    <vt:lpwstr>true</vt:lpwstr>
  </property>
  <property fmtid="{D5CDD505-2E9C-101B-9397-08002B2CF9AE}" pid="4" name="MSIP_Label_7b94a7b8-f06c-4dfe-bdcc-9b548fd58c31_SetDate">
    <vt:lpwstr>2026-03-09T19:11:41Z</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iteId">
    <vt:lpwstr>9ce70869-60db-44fd-abe8-d2767077fc8f</vt:lpwstr>
  </property>
  <property fmtid="{D5CDD505-2E9C-101B-9397-08002B2CF9AE}" pid="8" name="MSIP_Label_7b94a7b8-f06c-4dfe-bdcc-9b548fd58c31_ActionId">
    <vt:lpwstr>5f8002ec-2070-48b4-b7f4-5f2ecd2acb9d</vt:lpwstr>
  </property>
  <property fmtid="{D5CDD505-2E9C-101B-9397-08002B2CF9AE}" pid="9" name="MSIP_Label_7b94a7b8-f06c-4dfe-bdcc-9b548fd58c31_ContentBits">
    <vt:lpwstr>0</vt:lpwstr>
  </property>
  <property fmtid="{D5CDD505-2E9C-101B-9397-08002B2CF9AE}" pid="10" name="MSIP_Label_7b94a7b8-f06c-4dfe-bdcc-9b548fd58c31_Tag">
    <vt:lpwstr>10, 0, 1, 2</vt:lpwstr>
  </property>
  <property fmtid="{D5CDD505-2E9C-101B-9397-08002B2CF9AE}" pid="11" name="MediaServiceImageTags">
    <vt:lpwstr/>
  </property>
  <property fmtid="{D5CDD505-2E9C-101B-9397-08002B2CF9AE}" pid="12" name="docLang">
    <vt:lpwstr>en</vt:lpwstr>
  </property>
</Properties>
</file>