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848" w:rsidP="4EC5E4E1" w:rsidRDefault="64636CA0" w14:paraId="01453BC9" w14:textId="12CFDECB">
      <w:pPr>
        <w:rPr>
          <w:rFonts w:ascii="Aptos" w:hAnsi="Aptos" w:eastAsia="Aptos" w:cs="Aptos"/>
          <w:b/>
          <w:bCs/>
          <w:color w:val="000000" w:themeColor="text1"/>
        </w:rPr>
      </w:pPr>
      <w:r w:rsidRPr="4EC5E4E1">
        <w:rPr>
          <w:rFonts w:ascii="Aptos" w:hAnsi="Aptos" w:eastAsia="Aptos" w:cs="Aptos"/>
          <w:b/>
          <w:bCs/>
          <w:color w:val="000000" w:themeColor="text1"/>
        </w:rPr>
        <w:t xml:space="preserve">Practical Modeling Concepts for Public Health – </w:t>
      </w:r>
      <w:r w:rsidR="00620976">
        <w:rPr>
          <w:rFonts w:ascii="Aptos" w:hAnsi="Aptos" w:eastAsia="Aptos" w:cs="Aptos"/>
          <w:b/>
          <w:bCs/>
          <w:color w:val="000000" w:themeColor="text1"/>
        </w:rPr>
        <w:t>Video 3B – Mike Cima</w:t>
      </w:r>
    </w:p>
    <w:p w:rsidRPr="001474E0" w:rsidR="008A1745" w:rsidP="008A1745" w:rsidRDefault="008A1745" w14:paraId="73A61DAF" w14:textId="6A6357AD">
      <w:pPr>
        <w:rPr>
          <w:rFonts w:ascii="Aptos" w:hAnsi="Aptos" w:eastAsia="Aptos" w:cs="Aptos"/>
          <w:color w:val="FF0000"/>
        </w:rPr>
      </w:pPr>
      <w:r w:rsidRPr="001474E0">
        <w:rPr>
          <w:rFonts w:ascii="Aptos" w:hAnsi="Aptos" w:eastAsia="Aptos" w:cs="Aptos"/>
          <w:color w:val="FF0000"/>
        </w:rPr>
        <w:t>First slide indicates that this is the “</w:t>
      </w:r>
      <w:r w:rsidR="00BF3915">
        <w:rPr>
          <w:rFonts w:ascii="Aptos" w:hAnsi="Aptos" w:eastAsia="Aptos" w:cs="Aptos"/>
          <w:color w:val="FF0000"/>
        </w:rPr>
        <w:t xml:space="preserve">Scenario </w:t>
      </w:r>
      <w:r>
        <w:rPr>
          <w:rFonts w:ascii="Aptos" w:hAnsi="Aptos" w:eastAsia="Aptos" w:cs="Aptos"/>
          <w:color w:val="FF0000"/>
        </w:rPr>
        <w:t>Assessments</w:t>
      </w:r>
      <w:r w:rsidR="00BF3915">
        <w:rPr>
          <w:rFonts w:ascii="Aptos" w:hAnsi="Aptos" w:eastAsia="Aptos" w:cs="Aptos"/>
          <w:color w:val="FF0000"/>
        </w:rPr>
        <w:t>-Example</w:t>
      </w:r>
      <w:r>
        <w:rPr>
          <w:rFonts w:ascii="Aptos" w:hAnsi="Aptos" w:eastAsia="Aptos" w:cs="Aptos"/>
          <w:color w:val="FF0000"/>
        </w:rPr>
        <w:t>”</w:t>
      </w:r>
      <w:r w:rsidRPr="001474E0">
        <w:rPr>
          <w:rFonts w:ascii="Aptos" w:hAnsi="Aptos" w:eastAsia="Aptos" w:cs="Aptos"/>
          <w:color w:val="FF0000"/>
        </w:rPr>
        <w:t xml:space="preserve"> section of “Practical Modeling Concepts for Public Health” training.</w:t>
      </w:r>
      <w:r>
        <w:rPr>
          <w:rFonts w:ascii="Aptos" w:hAnsi="Aptos" w:eastAsia="Aptos" w:cs="Aptos"/>
          <w:color w:val="FF0000"/>
        </w:rPr>
        <w:t xml:space="preserve"> It has a blue background with white text and </w:t>
      </w:r>
      <w:proofErr w:type="gramStart"/>
      <w:r>
        <w:rPr>
          <w:rFonts w:ascii="Aptos" w:hAnsi="Aptos" w:eastAsia="Aptos" w:cs="Aptos"/>
          <w:color w:val="FF0000"/>
        </w:rPr>
        <w:t>a CDC</w:t>
      </w:r>
      <w:proofErr w:type="gramEnd"/>
      <w:r>
        <w:rPr>
          <w:rFonts w:ascii="Aptos" w:hAnsi="Aptos" w:eastAsia="Aptos" w:cs="Aptos"/>
          <w:color w:val="FF0000"/>
        </w:rPr>
        <w:t xml:space="preserve"> logo.</w:t>
      </w:r>
    </w:p>
    <w:p w:rsidR="008A1745" w:rsidP="4EC5E4E1" w:rsidRDefault="008A1745" w14:paraId="3CD933D4" w14:textId="19F55306">
      <w:pPr>
        <w:rPr>
          <w:rFonts w:ascii="Aptos" w:hAnsi="Aptos" w:eastAsia="Aptos" w:cs="Aptos"/>
          <w:color w:val="000000" w:themeColor="text1"/>
        </w:rPr>
      </w:pPr>
      <w:r w:rsidRPr="001474E0">
        <w:rPr>
          <w:rFonts w:ascii="Aptos" w:hAnsi="Aptos" w:eastAsia="Aptos" w:cs="Aptos"/>
          <w:color w:val="FF0000"/>
        </w:rPr>
        <w:t xml:space="preserve">Next, </w:t>
      </w:r>
      <w:r>
        <w:rPr>
          <w:rFonts w:ascii="Aptos" w:hAnsi="Aptos" w:eastAsia="Aptos" w:cs="Aptos"/>
          <w:color w:val="FF0000"/>
        </w:rPr>
        <w:t xml:space="preserve">a white man with brown hair wearing a purple shirt, </w:t>
      </w:r>
      <w:r w:rsidRPr="001474E0">
        <w:rPr>
          <w:rFonts w:ascii="Aptos" w:hAnsi="Aptos" w:eastAsia="Aptos" w:cs="Aptos"/>
          <w:color w:val="FF0000"/>
        </w:rPr>
        <w:t xml:space="preserve">Dr. </w:t>
      </w:r>
      <w:r>
        <w:rPr>
          <w:rFonts w:ascii="Aptos" w:hAnsi="Aptos" w:eastAsia="Aptos" w:cs="Aptos"/>
          <w:color w:val="FF0000"/>
        </w:rPr>
        <w:t>Mike Cima,</w:t>
      </w:r>
      <w:r w:rsidRPr="001474E0">
        <w:rPr>
          <w:rFonts w:ascii="Aptos" w:hAnsi="Aptos" w:eastAsia="Aptos" w:cs="Aptos"/>
          <w:color w:val="FF0000"/>
        </w:rPr>
        <w:t xml:space="preserve"> speaks to the camera. </w:t>
      </w:r>
    </w:p>
    <w:p w:rsidR="0032343A" w:rsidP="00620976" w:rsidRDefault="607BDC5D" w14:paraId="5E5844DF" w14:textId="77777777">
      <w:pPr>
        <w:rPr>
          <w:rFonts w:ascii="Aptos" w:hAnsi="Aptos" w:eastAsia="Aptos" w:cs="Aptos"/>
          <w:color w:val="000000" w:themeColor="text1"/>
        </w:rPr>
      </w:pPr>
      <w:r w:rsidRPr="7C625261">
        <w:rPr>
          <w:rFonts w:ascii="Aptos" w:hAnsi="Aptos" w:eastAsia="Aptos" w:cs="Aptos"/>
          <w:color w:val="000000" w:themeColor="text1"/>
        </w:rPr>
        <w:t xml:space="preserve">In the previous video, we </w:t>
      </w:r>
      <w:r w:rsidRPr="7C625261" w:rsidR="5145A8C6">
        <w:rPr>
          <w:rFonts w:ascii="Aptos" w:hAnsi="Aptos" w:eastAsia="Aptos" w:cs="Aptos"/>
          <w:color w:val="000000" w:themeColor="text1"/>
        </w:rPr>
        <w:t xml:space="preserve">introduced </w:t>
      </w:r>
      <w:r w:rsidRPr="7C625261">
        <w:rPr>
          <w:rFonts w:ascii="Aptos" w:hAnsi="Aptos" w:eastAsia="Aptos" w:cs="Aptos"/>
          <w:color w:val="000000" w:themeColor="text1"/>
        </w:rPr>
        <w:t xml:space="preserve">scenario assessments as another qualitative </w:t>
      </w:r>
      <w:r w:rsidRPr="7C625261" w:rsidR="1E82DBB3">
        <w:rPr>
          <w:rFonts w:ascii="Aptos" w:hAnsi="Aptos" w:eastAsia="Aptos" w:cs="Aptos"/>
          <w:color w:val="000000" w:themeColor="text1"/>
        </w:rPr>
        <w:t>method.</w:t>
      </w:r>
    </w:p>
    <w:p w:rsidR="0032343A" w:rsidP="00620976" w:rsidRDefault="0032343A" w14:paraId="4253C227" w14:textId="596C2DCA">
      <w:pPr>
        <w:rPr>
          <w:rFonts w:ascii="Aptos" w:hAnsi="Aptos" w:eastAsia="Aptos" w:cs="Aptos"/>
          <w:color w:val="000000" w:themeColor="text1"/>
        </w:rPr>
      </w:pPr>
      <w:r>
        <w:rPr>
          <w:rFonts w:ascii="Aptos" w:hAnsi="Aptos" w:eastAsia="Aptos" w:cs="Aptos"/>
          <w:color w:val="FF0000"/>
        </w:rPr>
        <w:t xml:space="preserve">A slide is shown with the header “Assess the Current Scenario.” The slide includes text about the example Marburg virus outbreak and an indicator table with </w:t>
      </w:r>
      <w:r w:rsidR="005C3010">
        <w:rPr>
          <w:rFonts w:ascii="Aptos" w:hAnsi="Aptos" w:eastAsia="Aptos" w:cs="Aptos"/>
          <w:color w:val="FF0000"/>
        </w:rPr>
        <w:t>the indicators: growth rate, proportion of new cases from known chains of transmission, timeliness of contact tracing, proportion of cases in isolation, and geographic spread. The table is shaded in orange next to each of these indicators</w:t>
      </w:r>
      <w:r w:rsidR="00B31A73">
        <w:rPr>
          <w:rFonts w:ascii="Aptos" w:hAnsi="Aptos" w:eastAsia="Aptos" w:cs="Aptos"/>
          <w:color w:val="FF0000"/>
        </w:rPr>
        <w:t xml:space="preserve"> in one of the Scenario A, B, and C columns. Dr. Cima reads the slide content.</w:t>
      </w:r>
      <w:r w:rsidRPr="7C625261" w:rsidR="1E82DBB3">
        <w:rPr>
          <w:rFonts w:ascii="Aptos" w:hAnsi="Aptos" w:eastAsia="Aptos" w:cs="Aptos"/>
          <w:color w:val="000000" w:themeColor="text1"/>
        </w:rPr>
        <w:t xml:space="preserve"> </w:t>
      </w:r>
    </w:p>
    <w:p w:rsidR="7C625261" w:rsidP="7C625261" w:rsidRDefault="607BDC5D" w14:paraId="23F3415D" w14:textId="1B548577">
      <w:pPr>
        <w:rPr>
          <w:rFonts w:ascii="Aptos" w:hAnsi="Aptos" w:eastAsia="Aptos" w:cs="Aptos"/>
          <w:color w:val="000000" w:themeColor="text1"/>
        </w:rPr>
      </w:pPr>
      <w:r w:rsidRPr="7C625261">
        <w:rPr>
          <w:rFonts w:ascii="Aptos" w:hAnsi="Aptos" w:eastAsia="Aptos" w:cs="Aptos"/>
          <w:color w:val="000000" w:themeColor="text1"/>
        </w:rPr>
        <w:t>Let’s look at an example of how this indicator table applied to a scenario assessment conducted in late 2025 in response to the Marburg virus outbreak in Ethiopia. Initial drafting of scenarios and the indicator table relied on past viral hemorrhagic fever scenario assessments and historical outbreaks as a baseline for what scenarios could potentially occur in this outbreak.</w:t>
      </w:r>
    </w:p>
    <w:p w:rsidRPr="00620976" w:rsidR="00BB4848" w:rsidP="00620976" w:rsidRDefault="64636CA0" w14:paraId="757DB6C9" w14:textId="019651EA">
      <w:pPr>
        <w:rPr>
          <w:rFonts w:ascii="Aptos" w:hAnsi="Aptos" w:eastAsia="Aptos" w:cs="Aptos"/>
          <w:color w:val="000000" w:themeColor="text1"/>
        </w:rPr>
      </w:pPr>
      <w:r w:rsidRPr="00620976">
        <w:rPr>
          <w:rFonts w:ascii="Aptos" w:hAnsi="Aptos" w:eastAsia="Aptos" w:cs="Aptos"/>
          <w:color w:val="000000" w:themeColor="text1"/>
        </w:rPr>
        <w:t xml:space="preserve">The team then used current outbreak evidence provided by response partners which indicated that the growth rate of the outbreak was slowing, that there was uncertainty about known chains of transmission, that contact tracing efforts were underway and extensive, that reporting was indicating that treatment centers were activated and case isolation was ongoing, and finally that a case outside of the outbreak epicenter had been reported. Based on this evidence, they drafted this indicator table and shared it with disease and response subject matter experts for further input. Key areas of uncertainty were identified and documented along with this table, including effectiveness of surveillance efforts, potential for undetected chains of transmission, potential for spread, and availability of medical countermeasures like treatments and vaccines. </w:t>
      </w:r>
    </w:p>
    <w:p w:rsidR="00BB4848" w:rsidP="00620976" w:rsidRDefault="64636CA0" w14:paraId="62D09436" w14:textId="29A9BA01">
      <w:pPr>
        <w:rPr>
          <w:rFonts w:ascii="Aptos" w:hAnsi="Aptos" w:eastAsia="Aptos" w:cs="Aptos"/>
          <w:color w:val="000000" w:themeColor="text1"/>
        </w:rPr>
      </w:pPr>
      <w:r w:rsidRPr="00620976">
        <w:rPr>
          <w:rFonts w:ascii="Aptos" w:hAnsi="Aptos" w:eastAsia="Aptos" w:cs="Aptos"/>
          <w:color w:val="000000" w:themeColor="text1"/>
        </w:rPr>
        <w:t xml:space="preserve">Based on </w:t>
      </w:r>
      <w:proofErr w:type="gramStart"/>
      <w:r w:rsidRPr="00620976">
        <w:rPr>
          <w:rFonts w:ascii="Aptos" w:hAnsi="Aptos" w:eastAsia="Aptos" w:cs="Aptos"/>
          <w:color w:val="000000" w:themeColor="text1"/>
        </w:rPr>
        <w:t>all of</w:t>
      </w:r>
      <w:proofErr w:type="gramEnd"/>
      <w:r w:rsidRPr="00620976">
        <w:rPr>
          <w:rFonts w:ascii="Aptos" w:hAnsi="Aptos" w:eastAsia="Aptos" w:cs="Aptos"/>
          <w:color w:val="000000" w:themeColor="text1"/>
        </w:rPr>
        <w:t xml:space="preserve"> these inputs, the team determined the most likely scenario to be Scenario A, an outbreak with fewer than 30 cases and lasting less than 3 months. </w:t>
      </w:r>
    </w:p>
    <w:p w:rsidRPr="00206DDF" w:rsidR="00206DDF" w:rsidP="00620976" w:rsidRDefault="00206DDF" w14:paraId="54AA383A" w14:textId="731940B6">
      <w:pPr>
        <w:rPr>
          <w:rFonts w:ascii="Aptos" w:hAnsi="Aptos" w:eastAsia="Aptos" w:cs="Aptos"/>
          <w:color w:val="FF0000"/>
        </w:rPr>
      </w:pPr>
      <w:r>
        <w:rPr>
          <w:rFonts w:ascii="Aptos" w:hAnsi="Aptos" w:eastAsia="Aptos" w:cs="Aptos"/>
          <w:color w:val="FF0000"/>
        </w:rPr>
        <w:t xml:space="preserve">A slide is shown with the header, “Incorporating modeling insights.” It includes </w:t>
      </w:r>
      <w:r w:rsidR="0010194E">
        <w:rPr>
          <w:rFonts w:ascii="Aptos" w:hAnsi="Aptos" w:eastAsia="Aptos" w:cs="Aptos"/>
          <w:color w:val="FF0000"/>
        </w:rPr>
        <w:t xml:space="preserve">text and three blue boxes at the bottom. Text in the boxes reads, “Modeling Literature,” “Illustrative Modeling,” and “Scenario Modeling.” </w:t>
      </w:r>
      <w:r>
        <w:rPr>
          <w:rFonts w:ascii="Aptos" w:hAnsi="Aptos" w:eastAsia="Aptos" w:cs="Aptos"/>
          <w:color w:val="FF0000"/>
        </w:rPr>
        <w:t xml:space="preserve">Dr. Cima </w:t>
      </w:r>
      <w:r w:rsidR="0010194E">
        <w:rPr>
          <w:rFonts w:ascii="Aptos" w:hAnsi="Aptos" w:eastAsia="Aptos" w:cs="Aptos"/>
          <w:color w:val="FF0000"/>
        </w:rPr>
        <w:t>explains the slide content.</w:t>
      </w:r>
    </w:p>
    <w:p w:rsidR="00BB4848" w:rsidP="00620976" w:rsidRDefault="6A4C6AE6" w14:paraId="75FE6300" w14:textId="09C13C8C">
      <w:pPr>
        <w:rPr>
          <w:rFonts w:ascii="Aptos" w:hAnsi="Aptos" w:eastAsia="Aptos" w:cs="Aptos"/>
          <w:color w:val="000000" w:themeColor="text1"/>
        </w:rPr>
      </w:pPr>
      <w:r w:rsidRPr="00620976">
        <w:rPr>
          <w:rFonts w:ascii="Aptos" w:hAnsi="Aptos" w:eastAsia="Aptos" w:cs="Aptos"/>
          <w:color w:val="000000" w:themeColor="text1"/>
        </w:rPr>
        <w:lastRenderedPageBreak/>
        <w:t>Q</w:t>
      </w:r>
      <w:r w:rsidRPr="00620976" w:rsidR="64636CA0">
        <w:rPr>
          <w:rFonts w:ascii="Aptos" w:hAnsi="Aptos" w:eastAsia="Aptos" w:cs="Aptos"/>
          <w:color w:val="000000" w:themeColor="text1"/>
        </w:rPr>
        <w:t xml:space="preserve">uantitative modeling insights </w:t>
      </w:r>
      <w:r w:rsidRPr="00620976" w:rsidR="6B94AB11">
        <w:rPr>
          <w:rFonts w:ascii="Aptos" w:hAnsi="Aptos" w:eastAsia="Aptos" w:cs="Aptos"/>
          <w:color w:val="000000" w:themeColor="text1"/>
        </w:rPr>
        <w:t>can also</w:t>
      </w:r>
      <w:r w:rsidRPr="00620976" w:rsidR="64636CA0">
        <w:rPr>
          <w:rFonts w:ascii="Aptos" w:hAnsi="Aptos" w:eastAsia="Aptos" w:cs="Aptos"/>
          <w:color w:val="000000" w:themeColor="text1"/>
        </w:rPr>
        <w:t xml:space="preserve"> be incorporated into a scenario assessment</w:t>
      </w:r>
      <w:r w:rsidRPr="00620976" w:rsidR="73854FF7">
        <w:rPr>
          <w:rFonts w:ascii="Aptos" w:hAnsi="Aptos" w:eastAsia="Aptos" w:cs="Aptos"/>
          <w:color w:val="000000" w:themeColor="text1"/>
        </w:rPr>
        <w:t xml:space="preserve"> when appropriate and available</w:t>
      </w:r>
      <w:r w:rsidRPr="00620976" w:rsidR="64636CA0">
        <w:rPr>
          <w:rFonts w:ascii="Aptos" w:hAnsi="Aptos" w:eastAsia="Aptos" w:cs="Aptos"/>
          <w:color w:val="000000" w:themeColor="text1"/>
        </w:rPr>
        <w:t xml:space="preserve"> </w:t>
      </w:r>
      <w:r w:rsidRPr="00620976" w:rsidR="74458BDA">
        <w:rPr>
          <w:rFonts w:ascii="Aptos" w:hAnsi="Aptos" w:eastAsia="Aptos" w:cs="Aptos"/>
          <w:color w:val="000000" w:themeColor="text1"/>
        </w:rPr>
        <w:t xml:space="preserve">to </w:t>
      </w:r>
      <w:r w:rsidRPr="00620976" w:rsidR="64636CA0">
        <w:rPr>
          <w:rFonts w:ascii="Aptos" w:hAnsi="Aptos" w:eastAsia="Aptos" w:cs="Aptos"/>
          <w:color w:val="000000" w:themeColor="text1"/>
        </w:rPr>
        <w:t>answer key questions like: How effective could the available interventions be? What are the most important sources of uncertainty in the outbreak, and how much will what we don't know impact its progression? Modeling can be included in a range of ways, depending on data availability and questions of interest, including through modeling literature, illustrative modeling, and scenario modeling when possible.</w:t>
      </w:r>
    </w:p>
    <w:p w:rsidRPr="00BC7A35" w:rsidR="00BC7A35" w:rsidP="00620976" w:rsidRDefault="00BC7A35" w14:paraId="481DAD4A" w14:textId="19E3A070">
      <w:pPr>
        <w:rPr>
          <w:rFonts w:ascii="Aptos" w:hAnsi="Aptos" w:eastAsia="Aptos" w:cs="Aptos"/>
          <w:color w:val="FF0000"/>
        </w:rPr>
      </w:pPr>
      <w:r>
        <w:rPr>
          <w:rFonts w:ascii="Aptos" w:hAnsi="Aptos" w:eastAsia="Aptos" w:cs="Aptos"/>
          <w:color w:val="FF0000"/>
        </w:rPr>
        <w:t xml:space="preserve">A slide is shown with the header, “Incorporating modeling insights.” It shows black descriptive text and two vertical bars. Each bar has </w:t>
      </w:r>
      <w:r w:rsidR="00B57CA7">
        <w:rPr>
          <w:rFonts w:ascii="Aptos" w:hAnsi="Aptos" w:eastAsia="Aptos" w:cs="Aptos"/>
          <w:color w:val="FF0000"/>
        </w:rPr>
        <w:t>blue, yellow, and red shading indicating scenarios A, B, and C, respectively. The first bar is labeled “highly effective surveillance” and the second is labeled “less effective surveillance. On the first bar, the outcome probability of scenario A (blue shading) is 98%. The outcome probability of scenario B (yellow shading</w:t>
      </w:r>
      <w:r w:rsidR="00C9752D">
        <w:rPr>
          <w:rFonts w:ascii="Aptos" w:hAnsi="Aptos" w:eastAsia="Aptos" w:cs="Aptos"/>
          <w:color w:val="FF0000"/>
        </w:rPr>
        <w:t xml:space="preserve">) is 2%. On the second bar, </w:t>
      </w:r>
      <w:r w:rsidR="00C9752D">
        <w:rPr>
          <w:rFonts w:ascii="Aptos" w:hAnsi="Aptos" w:eastAsia="Aptos" w:cs="Aptos"/>
          <w:color w:val="FF0000"/>
        </w:rPr>
        <w:t>the outcome probability of scenario A (blue shading) is</w:t>
      </w:r>
      <w:r w:rsidR="00C9752D">
        <w:rPr>
          <w:rFonts w:ascii="Aptos" w:hAnsi="Aptos" w:eastAsia="Aptos" w:cs="Aptos"/>
          <w:color w:val="FF0000"/>
        </w:rPr>
        <w:t xml:space="preserve"> 65.8%. </w:t>
      </w:r>
      <w:r w:rsidR="00C9752D">
        <w:rPr>
          <w:rFonts w:ascii="Aptos" w:hAnsi="Aptos" w:eastAsia="Aptos" w:cs="Aptos"/>
          <w:color w:val="FF0000"/>
        </w:rPr>
        <w:t>The outcome probability of scenario B (yellow shading) is 2</w:t>
      </w:r>
      <w:r w:rsidR="00C9752D">
        <w:rPr>
          <w:rFonts w:ascii="Aptos" w:hAnsi="Aptos" w:eastAsia="Aptos" w:cs="Aptos"/>
          <w:color w:val="FF0000"/>
        </w:rPr>
        <w:t xml:space="preserve">3.6%. </w:t>
      </w:r>
      <w:proofErr w:type="gramStart"/>
      <w:r w:rsidR="00D20A4F">
        <w:rPr>
          <w:rFonts w:ascii="Aptos" w:hAnsi="Aptos" w:eastAsia="Aptos" w:cs="Aptos"/>
          <w:color w:val="FF0000"/>
        </w:rPr>
        <w:t>The outcome</w:t>
      </w:r>
      <w:proofErr w:type="gramEnd"/>
      <w:r w:rsidR="00D20A4F">
        <w:rPr>
          <w:rFonts w:ascii="Aptos" w:hAnsi="Aptos" w:eastAsia="Aptos" w:cs="Aptos"/>
          <w:color w:val="FF0000"/>
        </w:rPr>
        <w:t xml:space="preserve"> probability of scenario C (red shading) is 10.6%.</w:t>
      </w:r>
    </w:p>
    <w:p w:rsidRPr="00620976" w:rsidR="00BB4848" w:rsidP="00620976" w:rsidRDefault="64636CA0" w14:paraId="103F5374" w14:textId="19E77DB1">
      <w:pPr>
        <w:rPr>
          <w:rFonts w:ascii="Aptos" w:hAnsi="Aptos" w:eastAsia="Aptos" w:cs="Aptos"/>
          <w:color w:val="000000" w:themeColor="text1"/>
        </w:rPr>
      </w:pPr>
      <w:r w:rsidRPr="00620976">
        <w:rPr>
          <w:rFonts w:ascii="Aptos" w:hAnsi="Aptos" w:eastAsia="Aptos" w:cs="Aptos"/>
          <w:color w:val="000000" w:themeColor="text1"/>
        </w:rPr>
        <w:t>To build upon the Marburg scenario assessment example, the team developed a mathematical branching process model to explore what observed cases may tell us about the true number of infections, and what this means for how the outbreak may progress. The model projects total case numbers over weeks and months under different assumptions about the effectiveness of outbreak surveillance efforts.</w:t>
      </w:r>
    </w:p>
    <w:p w:rsidR="00BB4848" w:rsidP="00620976" w:rsidRDefault="64636CA0" w14:paraId="49907B95" w14:textId="5698C0BC">
      <w:pPr>
        <w:rPr>
          <w:rFonts w:ascii="Aptos" w:hAnsi="Aptos" w:eastAsia="Aptos" w:cs="Aptos"/>
          <w:color w:val="000000" w:themeColor="text1"/>
        </w:rPr>
      </w:pPr>
      <w:r w:rsidRPr="00620976">
        <w:rPr>
          <w:rFonts w:ascii="Aptos" w:hAnsi="Aptos" w:eastAsia="Aptos" w:cs="Aptos"/>
          <w:color w:val="000000" w:themeColor="text1"/>
        </w:rPr>
        <w:t xml:space="preserve">We examined the relative probabilities of the three outbreak scenarios – A, B, and C – at 90 days after the first reported case. Model results showed that our assessment of the relative likelihood of each scenario occurring was highly dependent on our assumptions about surveillance effectiveness. Surveillance effectiveness was a key uncertainty in our assessment, and the modeling helped reiterate the importance of highly effective surveillance on outbreak mitigation when communicating with response leadership. </w:t>
      </w:r>
    </w:p>
    <w:p w:rsidRPr="00244DAD" w:rsidR="00244DAD" w:rsidP="00620976" w:rsidRDefault="00244DAD" w14:paraId="7E7A5718" w14:textId="54CD4416">
      <w:pPr>
        <w:rPr>
          <w:rFonts w:ascii="Aptos" w:hAnsi="Aptos" w:eastAsia="Aptos" w:cs="Aptos"/>
          <w:color w:val="FF0000"/>
        </w:rPr>
      </w:pPr>
      <w:r>
        <w:rPr>
          <w:rFonts w:ascii="Aptos" w:hAnsi="Aptos" w:eastAsia="Aptos" w:cs="Aptos"/>
          <w:color w:val="FF0000"/>
        </w:rPr>
        <w:t>Dr. Cima speaks to camera.</w:t>
      </w:r>
    </w:p>
    <w:p w:rsidR="00BB4848" w:rsidP="00620976" w:rsidRDefault="64636CA0" w14:paraId="64DA801E" w14:textId="10D2CE37">
      <w:pPr>
        <w:rPr>
          <w:rFonts w:ascii="Aptos" w:hAnsi="Aptos" w:eastAsia="Aptos" w:cs="Aptos"/>
          <w:color w:val="000000" w:themeColor="text1"/>
        </w:rPr>
      </w:pPr>
      <w:r w:rsidRPr="00620976">
        <w:rPr>
          <w:rFonts w:ascii="Aptos" w:hAnsi="Aptos" w:eastAsia="Aptos" w:cs="Aptos"/>
          <w:color w:val="000000" w:themeColor="text1"/>
        </w:rPr>
        <w:t>All qualitative assessments and modeling have some limitations and assumptions, but incorporating both can bolster outbreak response decision-making.</w:t>
      </w:r>
    </w:p>
    <w:p w:rsidRPr="00626897" w:rsidR="004265C6" w:rsidP="00620976" w:rsidRDefault="004265C6" w14:paraId="77468124" w14:textId="512F950D">
      <w:pPr>
        <w:rPr>
          <w:rFonts w:ascii="Aptos" w:hAnsi="Aptos" w:eastAsia="Aptos" w:cs="Aptos"/>
          <w:color w:val="FF0000"/>
        </w:rPr>
      </w:pPr>
      <w:r w:rsidRPr="58015C4F" w:rsidR="6C6F3750">
        <w:rPr>
          <w:rFonts w:ascii="Aptos" w:hAnsi="Aptos" w:eastAsia="Aptos" w:cs="Aptos"/>
          <w:color w:val="FF0000"/>
        </w:rPr>
        <w:t>A slide is shown with a white background and a shaded blue box with text</w:t>
      </w:r>
      <w:r w:rsidRPr="58015C4F" w:rsidR="05783C0E">
        <w:rPr>
          <w:rFonts w:ascii="Aptos" w:hAnsi="Aptos" w:eastAsia="Aptos" w:cs="Aptos"/>
          <w:color w:val="FF0000"/>
        </w:rPr>
        <w:t xml:space="preserve">. Dr. Cima </w:t>
      </w:r>
      <w:r w:rsidRPr="58015C4F" w:rsidR="66F9BDC4">
        <w:rPr>
          <w:rFonts w:ascii="Aptos" w:hAnsi="Aptos" w:eastAsia="Aptos" w:cs="Aptos"/>
          <w:color w:val="FF0000"/>
        </w:rPr>
        <w:t>read</w:t>
      </w:r>
      <w:r w:rsidRPr="58015C4F" w:rsidR="05783C0E">
        <w:rPr>
          <w:rFonts w:ascii="Aptos" w:hAnsi="Aptos" w:eastAsia="Aptos" w:cs="Aptos"/>
          <w:color w:val="FF0000"/>
        </w:rPr>
        <w:t xml:space="preserve">s the text. </w:t>
      </w:r>
    </w:p>
    <w:p w:rsidRPr="00620976" w:rsidR="00BB4848" w:rsidP="00620976" w:rsidRDefault="64636CA0" w14:paraId="2C078E63" w14:textId="54B98DC2">
      <w:pPr>
        <w:shd w:val="clear" w:color="auto" w:fill="FFFFFF" w:themeFill="background1"/>
        <w:spacing w:before="240" w:after="240"/>
        <w:rPr>
          <w:rFonts w:ascii="Aptos" w:hAnsi="Aptos" w:eastAsia="Aptos" w:cs="Aptos"/>
          <w:color w:val="000000" w:themeColor="text1"/>
        </w:rPr>
      </w:pPr>
      <w:r w:rsidRPr="00620976">
        <w:rPr>
          <w:rFonts w:ascii="Aptos" w:hAnsi="Aptos" w:eastAsia="Aptos" w:cs="Aptos"/>
          <w:color w:val="000000" w:themeColor="text1"/>
        </w:rPr>
        <w:t xml:space="preserve">To conclude, scenario assessments can be key resources for </w:t>
      </w:r>
      <w:r w:rsidRPr="00620976" w:rsidR="0196BB55">
        <w:rPr>
          <w:rFonts w:ascii="Aptos" w:hAnsi="Aptos" w:eastAsia="Aptos" w:cs="Aptos"/>
          <w:color w:val="000000" w:themeColor="text1"/>
        </w:rPr>
        <w:t xml:space="preserve">outlining </w:t>
      </w:r>
      <w:r w:rsidRPr="00620976">
        <w:rPr>
          <w:rFonts w:ascii="Aptos" w:hAnsi="Aptos" w:eastAsia="Aptos" w:cs="Aptos"/>
          <w:color w:val="000000" w:themeColor="text1"/>
        </w:rPr>
        <w:t xml:space="preserve">potential outbreak trajectories </w:t>
      </w:r>
      <w:r w:rsidRPr="00620976" w:rsidR="1CF06C5E">
        <w:rPr>
          <w:rFonts w:ascii="Aptos" w:hAnsi="Aptos" w:eastAsia="Aptos" w:cs="Aptos"/>
          <w:color w:val="000000" w:themeColor="text1"/>
        </w:rPr>
        <w:t xml:space="preserve">in </w:t>
      </w:r>
      <w:r w:rsidRPr="00620976">
        <w:rPr>
          <w:rFonts w:ascii="Aptos" w:hAnsi="Aptos" w:eastAsia="Aptos" w:cs="Aptos"/>
          <w:color w:val="000000" w:themeColor="text1"/>
        </w:rPr>
        <w:t>coming weeks to months, especially early on when data are limited.</w:t>
      </w:r>
    </w:p>
    <w:sectPr w:rsidRPr="00620976" w:rsidR="00BB484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1FC3"/>
    <w:multiLevelType w:val="hybridMultilevel"/>
    <w:tmpl w:val="59847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9D4F6"/>
    <w:multiLevelType w:val="hybridMultilevel"/>
    <w:tmpl w:val="ECA04196"/>
    <w:lvl w:ilvl="0" w:tplc="7D6C3CA0">
      <w:start w:val="19"/>
      <w:numFmt w:val="decimal"/>
      <w:lvlText w:val="%1."/>
      <w:lvlJc w:val="left"/>
      <w:pPr>
        <w:ind w:left="720" w:hanging="360"/>
      </w:pPr>
      <w:rPr>
        <w:rFonts w:hint="default" w:ascii="Aptos" w:hAnsi="Aptos"/>
      </w:rPr>
    </w:lvl>
    <w:lvl w:ilvl="1" w:tplc="2960988A">
      <w:start w:val="1"/>
      <w:numFmt w:val="lowerLetter"/>
      <w:lvlText w:val="%2."/>
      <w:lvlJc w:val="left"/>
      <w:pPr>
        <w:ind w:left="1440" w:hanging="360"/>
      </w:pPr>
    </w:lvl>
    <w:lvl w:ilvl="2" w:tplc="7B3A06B4">
      <w:start w:val="1"/>
      <w:numFmt w:val="lowerRoman"/>
      <w:lvlText w:val="%3."/>
      <w:lvlJc w:val="right"/>
      <w:pPr>
        <w:ind w:left="2160" w:hanging="180"/>
      </w:pPr>
    </w:lvl>
    <w:lvl w:ilvl="3" w:tplc="6D2A727C">
      <w:start w:val="1"/>
      <w:numFmt w:val="decimal"/>
      <w:lvlText w:val="%4."/>
      <w:lvlJc w:val="left"/>
      <w:pPr>
        <w:ind w:left="2880" w:hanging="360"/>
      </w:pPr>
    </w:lvl>
    <w:lvl w:ilvl="4" w:tplc="5E185B96">
      <w:start w:val="1"/>
      <w:numFmt w:val="lowerLetter"/>
      <w:lvlText w:val="%5."/>
      <w:lvlJc w:val="left"/>
      <w:pPr>
        <w:ind w:left="3600" w:hanging="360"/>
      </w:pPr>
    </w:lvl>
    <w:lvl w:ilvl="5" w:tplc="DB2EECEC">
      <w:start w:val="1"/>
      <w:numFmt w:val="lowerRoman"/>
      <w:lvlText w:val="%6."/>
      <w:lvlJc w:val="right"/>
      <w:pPr>
        <w:ind w:left="4320" w:hanging="180"/>
      </w:pPr>
    </w:lvl>
    <w:lvl w:ilvl="6" w:tplc="B87289EA">
      <w:start w:val="1"/>
      <w:numFmt w:val="decimal"/>
      <w:lvlText w:val="%7."/>
      <w:lvlJc w:val="left"/>
      <w:pPr>
        <w:ind w:left="5040" w:hanging="360"/>
      </w:pPr>
    </w:lvl>
    <w:lvl w:ilvl="7" w:tplc="444A38DE">
      <w:start w:val="1"/>
      <w:numFmt w:val="lowerLetter"/>
      <w:lvlText w:val="%8."/>
      <w:lvlJc w:val="left"/>
      <w:pPr>
        <w:ind w:left="5760" w:hanging="360"/>
      </w:pPr>
    </w:lvl>
    <w:lvl w:ilvl="8" w:tplc="ED78CE6E">
      <w:start w:val="1"/>
      <w:numFmt w:val="lowerRoman"/>
      <w:lvlText w:val="%9."/>
      <w:lvlJc w:val="right"/>
      <w:pPr>
        <w:ind w:left="6480" w:hanging="180"/>
      </w:pPr>
    </w:lvl>
  </w:abstractNum>
  <w:abstractNum w:abstractNumId="2" w15:restartNumberingAfterBreak="0">
    <w:nsid w:val="424C4939"/>
    <w:multiLevelType w:val="hybridMultilevel"/>
    <w:tmpl w:val="5E8CA2A8"/>
    <w:lvl w:ilvl="0" w:tplc="7812E004">
      <w:start w:val="1"/>
      <w:numFmt w:val="bullet"/>
      <w:lvlText w:val=""/>
      <w:lvlJc w:val="left"/>
      <w:pPr>
        <w:ind w:left="720" w:hanging="360"/>
      </w:pPr>
      <w:rPr>
        <w:rFonts w:hint="default" w:ascii="Symbol" w:hAnsi="Symbol"/>
      </w:rPr>
    </w:lvl>
    <w:lvl w:ilvl="1" w:tplc="BA4C9854">
      <w:start w:val="1"/>
      <w:numFmt w:val="bullet"/>
      <w:lvlText w:val="o"/>
      <w:lvlJc w:val="left"/>
      <w:pPr>
        <w:ind w:left="1440" w:hanging="360"/>
      </w:pPr>
      <w:rPr>
        <w:rFonts w:hint="default" w:ascii="Courier New" w:hAnsi="Courier New"/>
      </w:rPr>
    </w:lvl>
    <w:lvl w:ilvl="2" w:tplc="6220C1CE">
      <w:start w:val="1"/>
      <w:numFmt w:val="bullet"/>
      <w:lvlText w:val=""/>
      <w:lvlJc w:val="left"/>
      <w:pPr>
        <w:ind w:left="2160" w:hanging="360"/>
      </w:pPr>
      <w:rPr>
        <w:rFonts w:hint="default" w:ascii="Wingdings" w:hAnsi="Wingdings"/>
      </w:rPr>
    </w:lvl>
    <w:lvl w:ilvl="3" w:tplc="A0A8C5F2">
      <w:start w:val="1"/>
      <w:numFmt w:val="bullet"/>
      <w:lvlText w:val=""/>
      <w:lvlJc w:val="left"/>
      <w:pPr>
        <w:ind w:left="2880" w:hanging="360"/>
      </w:pPr>
      <w:rPr>
        <w:rFonts w:hint="default" w:ascii="Symbol" w:hAnsi="Symbol"/>
      </w:rPr>
    </w:lvl>
    <w:lvl w:ilvl="4" w:tplc="657A71D8">
      <w:start w:val="1"/>
      <w:numFmt w:val="bullet"/>
      <w:lvlText w:val="o"/>
      <w:lvlJc w:val="left"/>
      <w:pPr>
        <w:ind w:left="3600" w:hanging="360"/>
      </w:pPr>
      <w:rPr>
        <w:rFonts w:hint="default" w:ascii="Courier New" w:hAnsi="Courier New"/>
      </w:rPr>
    </w:lvl>
    <w:lvl w:ilvl="5" w:tplc="10560C8C">
      <w:start w:val="1"/>
      <w:numFmt w:val="bullet"/>
      <w:lvlText w:val=""/>
      <w:lvlJc w:val="left"/>
      <w:pPr>
        <w:ind w:left="4320" w:hanging="360"/>
      </w:pPr>
      <w:rPr>
        <w:rFonts w:hint="default" w:ascii="Wingdings" w:hAnsi="Wingdings"/>
      </w:rPr>
    </w:lvl>
    <w:lvl w:ilvl="6" w:tplc="DC4E1E9E">
      <w:start w:val="1"/>
      <w:numFmt w:val="bullet"/>
      <w:lvlText w:val=""/>
      <w:lvlJc w:val="left"/>
      <w:pPr>
        <w:ind w:left="5040" w:hanging="360"/>
      </w:pPr>
      <w:rPr>
        <w:rFonts w:hint="default" w:ascii="Symbol" w:hAnsi="Symbol"/>
      </w:rPr>
    </w:lvl>
    <w:lvl w:ilvl="7" w:tplc="08143278">
      <w:start w:val="1"/>
      <w:numFmt w:val="bullet"/>
      <w:lvlText w:val="o"/>
      <w:lvlJc w:val="left"/>
      <w:pPr>
        <w:ind w:left="5760" w:hanging="360"/>
      </w:pPr>
      <w:rPr>
        <w:rFonts w:hint="default" w:ascii="Courier New" w:hAnsi="Courier New"/>
      </w:rPr>
    </w:lvl>
    <w:lvl w:ilvl="8" w:tplc="8EC2259A">
      <w:start w:val="1"/>
      <w:numFmt w:val="bullet"/>
      <w:lvlText w:val=""/>
      <w:lvlJc w:val="left"/>
      <w:pPr>
        <w:ind w:left="6480" w:hanging="360"/>
      </w:pPr>
      <w:rPr>
        <w:rFonts w:hint="default" w:ascii="Wingdings" w:hAnsi="Wingdings"/>
      </w:rPr>
    </w:lvl>
  </w:abstractNum>
  <w:abstractNum w:abstractNumId="3" w15:restartNumberingAfterBreak="0">
    <w:nsid w:val="55797431"/>
    <w:multiLevelType w:val="hybridMultilevel"/>
    <w:tmpl w:val="62E0B616"/>
    <w:lvl w:ilvl="0" w:tplc="F514B69C">
      <w:start w:val="25"/>
      <w:numFmt w:val="decimal"/>
      <w:lvlText w:val="%1."/>
      <w:lvlJc w:val="left"/>
      <w:pPr>
        <w:ind w:left="720" w:hanging="360"/>
      </w:pPr>
    </w:lvl>
    <w:lvl w:ilvl="1" w:tplc="25FE0C00">
      <w:start w:val="1"/>
      <w:numFmt w:val="lowerLetter"/>
      <w:lvlText w:val="%2."/>
      <w:lvlJc w:val="left"/>
      <w:pPr>
        <w:ind w:left="1440" w:hanging="360"/>
      </w:pPr>
    </w:lvl>
    <w:lvl w:ilvl="2" w:tplc="ABCC54CC">
      <w:start w:val="1"/>
      <w:numFmt w:val="lowerRoman"/>
      <w:lvlText w:val="%3."/>
      <w:lvlJc w:val="right"/>
      <w:pPr>
        <w:ind w:left="2160" w:hanging="180"/>
      </w:pPr>
    </w:lvl>
    <w:lvl w:ilvl="3" w:tplc="8D58D78E">
      <w:start w:val="1"/>
      <w:numFmt w:val="decimal"/>
      <w:lvlText w:val="%4."/>
      <w:lvlJc w:val="left"/>
      <w:pPr>
        <w:ind w:left="2880" w:hanging="360"/>
      </w:pPr>
    </w:lvl>
    <w:lvl w:ilvl="4" w:tplc="E3086F68">
      <w:start w:val="1"/>
      <w:numFmt w:val="lowerLetter"/>
      <w:lvlText w:val="%5."/>
      <w:lvlJc w:val="left"/>
      <w:pPr>
        <w:ind w:left="3600" w:hanging="360"/>
      </w:pPr>
    </w:lvl>
    <w:lvl w:ilvl="5" w:tplc="5D784C1A">
      <w:start w:val="1"/>
      <w:numFmt w:val="lowerRoman"/>
      <w:lvlText w:val="%6."/>
      <w:lvlJc w:val="right"/>
      <w:pPr>
        <w:ind w:left="4320" w:hanging="180"/>
      </w:pPr>
    </w:lvl>
    <w:lvl w:ilvl="6" w:tplc="F7729A82">
      <w:start w:val="1"/>
      <w:numFmt w:val="decimal"/>
      <w:lvlText w:val="%7."/>
      <w:lvlJc w:val="left"/>
      <w:pPr>
        <w:ind w:left="5040" w:hanging="360"/>
      </w:pPr>
    </w:lvl>
    <w:lvl w:ilvl="7" w:tplc="F9166C6A">
      <w:start w:val="1"/>
      <w:numFmt w:val="lowerLetter"/>
      <w:lvlText w:val="%8."/>
      <w:lvlJc w:val="left"/>
      <w:pPr>
        <w:ind w:left="5760" w:hanging="360"/>
      </w:pPr>
    </w:lvl>
    <w:lvl w:ilvl="8" w:tplc="B26EC41A">
      <w:start w:val="1"/>
      <w:numFmt w:val="lowerRoman"/>
      <w:lvlText w:val="%9."/>
      <w:lvlJc w:val="right"/>
      <w:pPr>
        <w:ind w:left="6480" w:hanging="180"/>
      </w:pPr>
    </w:lvl>
  </w:abstractNum>
  <w:num w:numId="1" w16cid:durableId="491920095">
    <w:abstractNumId w:val="3"/>
  </w:num>
  <w:num w:numId="2" w16cid:durableId="81219268">
    <w:abstractNumId w:val="1"/>
  </w:num>
  <w:num w:numId="3" w16cid:durableId="247926133">
    <w:abstractNumId w:val="2"/>
  </w:num>
  <w:num w:numId="4" w16cid:durableId="83761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BBAD63"/>
    <w:rsid w:val="0010194E"/>
    <w:rsid w:val="001D4C7F"/>
    <w:rsid w:val="00206DDF"/>
    <w:rsid w:val="00244DAD"/>
    <w:rsid w:val="002F7D08"/>
    <w:rsid w:val="0032343A"/>
    <w:rsid w:val="004265C6"/>
    <w:rsid w:val="005552E4"/>
    <w:rsid w:val="005C3010"/>
    <w:rsid w:val="00620976"/>
    <w:rsid w:val="00626897"/>
    <w:rsid w:val="007F0164"/>
    <w:rsid w:val="008A1745"/>
    <w:rsid w:val="00B31A73"/>
    <w:rsid w:val="00B57CA7"/>
    <w:rsid w:val="00BB3F00"/>
    <w:rsid w:val="00BB4848"/>
    <w:rsid w:val="00BC7A35"/>
    <w:rsid w:val="00BF3915"/>
    <w:rsid w:val="00C9752D"/>
    <w:rsid w:val="00D20A4F"/>
    <w:rsid w:val="0196BB55"/>
    <w:rsid w:val="04DCF463"/>
    <w:rsid w:val="05783C0E"/>
    <w:rsid w:val="09090E3A"/>
    <w:rsid w:val="0BE513B0"/>
    <w:rsid w:val="1CF06C5E"/>
    <w:rsid w:val="1E82DBB3"/>
    <w:rsid w:val="257932FF"/>
    <w:rsid w:val="2A0ECDF0"/>
    <w:rsid w:val="330022B2"/>
    <w:rsid w:val="39EECC03"/>
    <w:rsid w:val="3FE79588"/>
    <w:rsid w:val="4268C24F"/>
    <w:rsid w:val="4602DE0B"/>
    <w:rsid w:val="49F2FC05"/>
    <w:rsid w:val="4E8232C1"/>
    <w:rsid w:val="4EC5E4E1"/>
    <w:rsid w:val="5145A8C6"/>
    <w:rsid w:val="5222D83E"/>
    <w:rsid w:val="5342182C"/>
    <w:rsid w:val="58015C4F"/>
    <w:rsid w:val="607BDC5D"/>
    <w:rsid w:val="61CAB58B"/>
    <w:rsid w:val="64636CA0"/>
    <w:rsid w:val="65E6691C"/>
    <w:rsid w:val="66F9BDC4"/>
    <w:rsid w:val="6A4C6AE6"/>
    <w:rsid w:val="6A8574AA"/>
    <w:rsid w:val="6B94AB11"/>
    <w:rsid w:val="6C6F3750"/>
    <w:rsid w:val="73854FF7"/>
    <w:rsid w:val="74458BDA"/>
    <w:rsid w:val="747D2102"/>
    <w:rsid w:val="74BBAD63"/>
    <w:rsid w:val="7C625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AD63"/>
  <w15:chartTrackingRefBased/>
  <w15:docId w15:val="{4CB6D08A-D89C-46FB-A607-99E13127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9" ma:contentTypeDescription="Create a new document." ma:contentTypeScope="" ma:versionID="5bb01d0f1fb9bd5b4ec27a9f0e37d9f9">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b707fdd7629902fc37ccb1c38626cf2a"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person xmlns="1cb68687-f496-4db3-b5bd-c41440381a4a">
      <UserInfo>
        <DisplayName/>
        <AccountId xsi:nil="true"/>
        <AccountType/>
      </UserInfo>
    </person>
  </documentManagement>
</p:properties>
</file>

<file path=customXml/itemProps1.xml><?xml version="1.0" encoding="utf-8"?>
<ds:datastoreItem xmlns:ds="http://schemas.openxmlformats.org/officeDocument/2006/customXml" ds:itemID="{BBF109DA-6081-48DE-AE65-57CBE6C9D1EB}">
  <ds:schemaRefs>
    <ds:schemaRef ds:uri="http://schemas.microsoft.com/sharepoint/v3/contenttype/forms"/>
  </ds:schemaRefs>
</ds:datastoreItem>
</file>

<file path=customXml/itemProps2.xml><?xml version="1.0" encoding="utf-8"?>
<ds:datastoreItem xmlns:ds="http://schemas.openxmlformats.org/officeDocument/2006/customXml" ds:itemID="{BDCC0780-D6F8-442B-81C2-D3A6D9442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8EDCA9-410A-4559-B400-5A854BFDA7C1}">
  <ds:schemaRefs>
    <ds:schemaRef ds:uri="http://schemas.microsoft.com/office/2006/metadata/properties"/>
    <ds:schemaRef ds:uri="http://schemas.microsoft.com/office/infopath/2007/PartnerControls"/>
    <ds:schemaRef ds:uri="1cb68687-f496-4db3-b5bd-c41440381a4a"/>
    <ds:schemaRef ds:uri="bd64ead2-f373-4c38-be2a-defab1dc671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Cima, Michael (Mike) (CDC/OD/ORR/CFA) (CTR)</dc:creator>
  <keywords/>
  <dc:description/>
  <lastModifiedBy>Koeller, Sarah (CDC/OD/ORR/CFA)</lastModifiedBy>
  <revision>21</revision>
  <dcterms:created xsi:type="dcterms:W3CDTF">2026-05-20T15:22:00.0000000Z</dcterms:created>
  <dcterms:modified xsi:type="dcterms:W3CDTF">2026-05-21T19:32:32.5324478Z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7b94a7b8-f06c-4dfe-bdcc-9b548fd58c31_Enabled">
    <vt:lpwstr>true</vt:lpwstr>
  </property>
  <property fmtid="{D5CDD505-2E9C-101B-9397-08002B2CF9AE}" pid="4" name="MSIP_Label_7b94a7b8-f06c-4dfe-bdcc-9b548fd58c31_SetDate">
    <vt:lpwstr>2026-03-17T14:02:38Z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28d9131d-e5af-4f82-ad3e-fce4c3302d98</vt:lpwstr>
  </property>
  <property fmtid="{D5CDD505-2E9C-101B-9397-08002B2CF9AE}" pid="9" name="MSIP_Label_7b94a7b8-f06c-4dfe-bdcc-9b548fd58c31_ContentBits">
    <vt:lpwstr>0</vt:lpwstr>
  </property>
  <property fmtid="{D5CDD505-2E9C-101B-9397-08002B2CF9AE}" pid="10" name="MSIP_Label_7b94a7b8-f06c-4dfe-bdcc-9b548fd58c31_Tag">
    <vt:lpwstr>10, 0, 1, 2</vt:lpwstr>
  </property>
  <property fmtid="{D5CDD505-2E9C-101B-9397-08002B2CF9AE}" pid="11" name="MediaServiceImageTags">
    <vt:lpwstr/>
  </property>
  <property fmtid="{D5CDD505-2E9C-101B-9397-08002B2CF9AE}" pid="12" name="docLang">
    <vt:lpwstr>en</vt:lpwstr>
  </property>
</Properties>
</file>