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C89E" w14:textId="6D0C5425" w:rsidR="00D47685" w:rsidRDefault="20314D8D" w:rsidP="7B525029">
      <w:pPr>
        <w:rPr>
          <w:rFonts w:ascii="Aptos" w:eastAsia="Aptos" w:hAnsi="Aptos" w:cs="Aptos"/>
          <w:b/>
          <w:bCs/>
          <w:color w:val="000000" w:themeColor="text1"/>
        </w:rPr>
      </w:pPr>
      <w:r w:rsidRPr="00C8452A">
        <w:rPr>
          <w:rFonts w:ascii="Aptos" w:eastAsia="Aptos" w:hAnsi="Aptos" w:cs="Aptos"/>
          <w:b/>
          <w:bCs/>
          <w:color w:val="000000" w:themeColor="text1"/>
        </w:rPr>
        <w:t xml:space="preserve">Practical Modeling Concepts for Public Health – </w:t>
      </w:r>
      <w:r w:rsidR="00C8452A" w:rsidRPr="00C8452A">
        <w:rPr>
          <w:rFonts w:ascii="Aptos" w:eastAsia="Aptos" w:hAnsi="Aptos" w:cs="Aptos"/>
          <w:b/>
          <w:bCs/>
          <w:color w:val="000000" w:themeColor="text1"/>
        </w:rPr>
        <w:t>Video 3A – Mike Cima</w:t>
      </w:r>
    </w:p>
    <w:p w14:paraId="4258424E" w14:textId="42314DB7" w:rsidR="00684208" w:rsidRPr="001474E0" w:rsidRDefault="00684208" w:rsidP="00684208">
      <w:pPr>
        <w:rPr>
          <w:rFonts w:ascii="Aptos" w:eastAsia="Aptos" w:hAnsi="Aptos" w:cs="Aptos"/>
          <w:color w:val="FF0000"/>
        </w:rPr>
      </w:pPr>
      <w:r w:rsidRPr="001474E0">
        <w:rPr>
          <w:rFonts w:ascii="Aptos" w:eastAsia="Aptos" w:hAnsi="Aptos" w:cs="Aptos"/>
          <w:color w:val="FF0000"/>
        </w:rPr>
        <w:t>First slide indicates that this is the “</w:t>
      </w:r>
      <w:r w:rsidR="0078727B">
        <w:rPr>
          <w:rFonts w:ascii="Aptos" w:eastAsia="Aptos" w:hAnsi="Aptos" w:cs="Aptos"/>
          <w:color w:val="FF0000"/>
        </w:rPr>
        <w:t>Scenario assessments</w:t>
      </w:r>
      <w:r w:rsidRPr="001474E0">
        <w:rPr>
          <w:rFonts w:ascii="Aptos" w:eastAsia="Aptos" w:hAnsi="Aptos" w:cs="Aptos"/>
          <w:color w:val="FF0000"/>
        </w:rPr>
        <w:t>” section of “Practical Modeling Concepts for Public Health” training.</w:t>
      </w:r>
    </w:p>
    <w:p w14:paraId="62E33AEB" w14:textId="0C1482F2" w:rsidR="00684208" w:rsidRPr="00C8452A" w:rsidRDefault="00684208" w:rsidP="7B525029">
      <w:pPr>
        <w:rPr>
          <w:rFonts w:ascii="Aptos" w:eastAsia="Aptos" w:hAnsi="Aptos" w:cs="Aptos"/>
          <w:color w:val="000000" w:themeColor="text1"/>
        </w:rPr>
      </w:pPr>
      <w:r w:rsidRPr="001474E0">
        <w:rPr>
          <w:rFonts w:ascii="Aptos" w:eastAsia="Aptos" w:hAnsi="Aptos" w:cs="Aptos"/>
          <w:color w:val="FF0000"/>
        </w:rPr>
        <w:t xml:space="preserve">Next, Dr. </w:t>
      </w:r>
      <w:r w:rsidR="0078727B">
        <w:rPr>
          <w:rFonts w:ascii="Aptos" w:eastAsia="Aptos" w:hAnsi="Aptos" w:cs="Aptos"/>
          <w:color w:val="FF0000"/>
        </w:rPr>
        <w:t>Mike Cima</w:t>
      </w:r>
      <w:r w:rsidRPr="001474E0">
        <w:rPr>
          <w:rFonts w:ascii="Aptos" w:eastAsia="Aptos" w:hAnsi="Aptos" w:cs="Aptos"/>
          <w:color w:val="FF0000"/>
        </w:rPr>
        <w:t xml:space="preserve"> speaks to the camera. </w:t>
      </w:r>
    </w:p>
    <w:p w14:paraId="19CCC553" w14:textId="0E4C1BD4" w:rsidR="00D47685" w:rsidRDefault="201265A1" w:rsidP="00C8452A">
      <w:pPr>
        <w:rPr>
          <w:rFonts w:ascii="Aptos" w:eastAsia="Aptos" w:hAnsi="Aptos" w:cs="Aptos"/>
          <w:color w:val="000000" w:themeColor="text1"/>
        </w:rPr>
      </w:pPr>
      <w:r w:rsidRPr="00C8452A">
        <w:rPr>
          <w:rFonts w:ascii="Aptos" w:eastAsia="Aptos" w:hAnsi="Aptos" w:cs="Aptos"/>
          <w:color w:val="000000" w:themeColor="text1"/>
        </w:rPr>
        <w:t xml:space="preserve">Scenario assessments </w:t>
      </w:r>
      <w:r w:rsidR="20314D8D" w:rsidRPr="00C8452A">
        <w:rPr>
          <w:rFonts w:ascii="Aptos" w:eastAsia="Aptos" w:hAnsi="Aptos" w:cs="Aptos"/>
          <w:color w:val="000000" w:themeColor="text1"/>
        </w:rPr>
        <w:t xml:space="preserve">draw on qualitative methods </w:t>
      </w:r>
      <w:r w:rsidR="0FD410C4" w:rsidRPr="00C8452A">
        <w:rPr>
          <w:rFonts w:ascii="Aptos" w:eastAsia="Aptos" w:hAnsi="Aptos" w:cs="Aptos"/>
          <w:color w:val="000000" w:themeColor="text1"/>
        </w:rPr>
        <w:t xml:space="preserve">to assess </w:t>
      </w:r>
      <w:r w:rsidR="20314D8D" w:rsidRPr="00C8452A">
        <w:rPr>
          <w:rFonts w:ascii="Aptos" w:eastAsia="Aptos" w:hAnsi="Aptos" w:cs="Aptos"/>
          <w:color w:val="000000" w:themeColor="text1"/>
        </w:rPr>
        <w:t>an outbreak.</w:t>
      </w:r>
    </w:p>
    <w:p w14:paraId="28E7AF44" w14:textId="5B150306" w:rsidR="00426D0F" w:rsidRDefault="00426D0F" w:rsidP="00426D0F">
      <w:pPr>
        <w:spacing w:after="0"/>
        <w:rPr>
          <w:rFonts w:ascii="Aptos" w:eastAsia="Aptos" w:hAnsi="Aptos" w:cs="Aptos"/>
          <w:color w:val="FF0000"/>
        </w:rPr>
      </w:pPr>
      <w:r w:rsidRPr="003D2934">
        <w:rPr>
          <w:rFonts w:ascii="Aptos" w:eastAsia="Aptos" w:hAnsi="Aptos" w:cs="Aptos"/>
          <w:color w:val="FF0000"/>
        </w:rPr>
        <w:t xml:space="preserve">Slide is shown on the screen that describes “Different types of qualitative assessments and modeling outputs are useful at different horizons.” Slide includes a blue timeseries image, the “horizon,” with arrows showing points on the timeseries to illustrate nowcasts, short-term forecasts, and scenario models at points in time. A box describing qualitative assessments is along the top of the timeseries image. </w:t>
      </w:r>
    </w:p>
    <w:p w14:paraId="3D9EA85A" w14:textId="77777777" w:rsidR="004B62F6" w:rsidRPr="00426D0F" w:rsidRDefault="004B62F6" w:rsidP="00426D0F">
      <w:pPr>
        <w:spacing w:after="0"/>
        <w:rPr>
          <w:rFonts w:ascii="Aptos" w:eastAsia="Aptos" w:hAnsi="Aptos" w:cs="Aptos"/>
          <w:color w:val="FF0000"/>
        </w:rPr>
      </w:pPr>
    </w:p>
    <w:p w14:paraId="3C89061F" w14:textId="58B2C896" w:rsidR="00426D0F" w:rsidRDefault="20314D8D" w:rsidP="00C8452A">
      <w:pPr>
        <w:rPr>
          <w:rFonts w:ascii="Aptos" w:eastAsia="Aptos" w:hAnsi="Aptos" w:cs="Aptos"/>
          <w:color w:val="000000" w:themeColor="text1"/>
        </w:rPr>
      </w:pPr>
      <w:r w:rsidRPr="00C8452A">
        <w:rPr>
          <w:rFonts w:ascii="Aptos" w:eastAsia="Aptos" w:hAnsi="Aptos" w:cs="Aptos"/>
          <w:color w:val="000000" w:themeColor="text1"/>
        </w:rPr>
        <w:t xml:space="preserve">Different types of qualitative assessments and modeling outputs are useful at different horizons. </w:t>
      </w:r>
    </w:p>
    <w:p w14:paraId="1FA99C4E" w14:textId="0E9558CB" w:rsidR="002E405F" w:rsidRPr="006F05DB" w:rsidRDefault="006F05DB" w:rsidP="00C8452A">
      <w:pPr>
        <w:rPr>
          <w:rFonts w:ascii="Aptos" w:eastAsia="Aptos" w:hAnsi="Aptos" w:cs="Aptos"/>
          <w:color w:val="FF0000"/>
        </w:rPr>
      </w:pPr>
      <w:r w:rsidRPr="006F05DB">
        <w:rPr>
          <w:rFonts w:ascii="Aptos" w:eastAsia="Aptos" w:hAnsi="Aptos" w:cs="Aptos"/>
          <w:color w:val="FF0000"/>
        </w:rPr>
        <w:t xml:space="preserve">Animation circles the timeseries image. </w:t>
      </w:r>
    </w:p>
    <w:p w14:paraId="4A8CCA74" w14:textId="3DB01656" w:rsidR="00D47685" w:rsidRDefault="20314D8D" w:rsidP="00C8452A">
      <w:pPr>
        <w:rPr>
          <w:rFonts w:ascii="Aptos" w:eastAsia="Aptos" w:hAnsi="Aptos" w:cs="Aptos"/>
          <w:color w:val="000000" w:themeColor="text1"/>
        </w:rPr>
      </w:pPr>
      <w:r w:rsidRPr="00C8452A">
        <w:rPr>
          <w:rFonts w:ascii="Aptos" w:eastAsia="Aptos" w:hAnsi="Aptos" w:cs="Aptos"/>
          <w:color w:val="000000" w:themeColor="text1"/>
        </w:rPr>
        <w:t xml:space="preserve">Scenario assessments are a type of qualitative assessment that can be conducted early in an outbreak and outline a range of potential outbreak trajectories over the coming weeks and months, as well as a prediction of which is mostly likely based on current information. </w:t>
      </w:r>
    </w:p>
    <w:p w14:paraId="37508FBC" w14:textId="0A8DA977" w:rsidR="00397BB4" w:rsidRPr="00E47295" w:rsidRDefault="00E47295" w:rsidP="00C8452A">
      <w:pPr>
        <w:rPr>
          <w:rFonts w:ascii="Aptos" w:eastAsia="Aptos" w:hAnsi="Aptos" w:cs="Aptos"/>
          <w:color w:val="FF0000"/>
        </w:rPr>
      </w:pPr>
      <w:r>
        <w:rPr>
          <w:rFonts w:ascii="Aptos" w:eastAsia="Aptos" w:hAnsi="Aptos" w:cs="Aptos"/>
          <w:color w:val="FF0000"/>
        </w:rPr>
        <w:t xml:space="preserve">Slide is shown with header, “Qualitative outbreak </w:t>
      </w:r>
      <w:r>
        <w:rPr>
          <w:rFonts w:ascii="Aptos" w:eastAsia="Aptos" w:hAnsi="Aptos" w:cs="Aptos"/>
          <w:color w:val="FF0000"/>
        </w:rPr>
        <w:t>scenario</w:t>
      </w:r>
      <w:r>
        <w:rPr>
          <w:rFonts w:ascii="Aptos" w:eastAsia="Aptos" w:hAnsi="Aptos" w:cs="Aptos"/>
          <w:color w:val="FF0000"/>
        </w:rPr>
        <w:t xml:space="preserve"> assessment,” and is divided into three sections which read: “What is it?, “Why is it useful?,” and “Example inputs.” Dr. Cima explains each section.</w:t>
      </w:r>
    </w:p>
    <w:p w14:paraId="39862B0C" w14:textId="0852E56C" w:rsidR="00D47685" w:rsidRPr="00C8452A" w:rsidRDefault="20314D8D" w:rsidP="00C8452A">
      <w:pPr>
        <w:rPr>
          <w:rFonts w:ascii="Aptos" w:eastAsia="Aptos" w:hAnsi="Aptos" w:cs="Aptos"/>
          <w:color w:val="000000" w:themeColor="text1"/>
        </w:rPr>
      </w:pPr>
      <w:r w:rsidRPr="00C8452A">
        <w:rPr>
          <w:rFonts w:ascii="Aptos" w:eastAsia="Aptos" w:hAnsi="Aptos" w:cs="Aptos"/>
          <w:color w:val="000000" w:themeColor="text1"/>
        </w:rPr>
        <w:t xml:space="preserve">A scenario assessment can </w:t>
      </w:r>
      <w:r w:rsidR="73009E1C" w:rsidRPr="00C8452A">
        <w:rPr>
          <w:rFonts w:ascii="Aptos" w:eastAsia="Aptos" w:hAnsi="Aptos" w:cs="Aptos"/>
          <w:color w:val="000000" w:themeColor="text1"/>
        </w:rPr>
        <w:t xml:space="preserve">rapidly </w:t>
      </w:r>
      <w:r w:rsidRPr="00C8452A">
        <w:rPr>
          <w:rFonts w:ascii="Aptos" w:eastAsia="Aptos" w:hAnsi="Aptos" w:cs="Aptos"/>
          <w:color w:val="000000" w:themeColor="text1"/>
        </w:rPr>
        <w:t xml:space="preserve">scope possible </w:t>
      </w:r>
      <w:r w:rsidR="72AFC7B5" w:rsidRPr="00C8452A">
        <w:rPr>
          <w:rFonts w:ascii="Aptos" w:eastAsia="Aptos" w:hAnsi="Aptos" w:cs="Aptos"/>
          <w:color w:val="000000" w:themeColor="text1"/>
        </w:rPr>
        <w:t xml:space="preserve">outbreak </w:t>
      </w:r>
      <w:r w:rsidRPr="00C8452A">
        <w:rPr>
          <w:rFonts w:ascii="Aptos" w:eastAsia="Aptos" w:hAnsi="Aptos" w:cs="Aptos"/>
          <w:color w:val="000000" w:themeColor="text1"/>
        </w:rPr>
        <w:t xml:space="preserve">outcomes </w:t>
      </w:r>
      <w:r w:rsidR="571FA627" w:rsidRPr="00C8452A">
        <w:rPr>
          <w:rFonts w:ascii="Aptos" w:eastAsia="Aptos" w:hAnsi="Aptos" w:cs="Aptos"/>
          <w:color w:val="000000" w:themeColor="text1"/>
        </w:rPr>
        <w:t xml:space="preserve">in the coming weeks or months </w:t>
      </w:r>
      <w:r w:rsidRPr="00C8452A">
        <w:rPr>
          <w:rFonts w:ascii="Aptos" w:eastAsia="Aptos" w:hAnsi="Aptos" w:cs="Aptos"/>
          <w:color w:val="000000" w:themeColor="text1"/>
        </w:rPr>
        <w:t>to help decision-makers determine preparedness and response actions.</w:t>
      </w:r>
    </w:p>
    <w:p w14:paraId="7A53E139" w14:textId="23B86E2A" w:rsidR="00D47685" w:rsidRDefault="20314D8D" w:rsidP="00C8452A">
      <w:pPr>
        <w:rPr>
          <w:rFonts w:ascii="Aptos" w:eastAsia="Aptos" w:hAnsi="Aptos" w:cs="Aptos"/>
          <w:color w:val="000000" w:themeColor="text1"/>
        </w:rPr>
      </w:pPr>
      <w:r w:rsidRPr="00C8452A">
        <w:rPr>
          <w:rFonts w:ascii="Aptos" w:eastAsia="Aptos" w:hAnsi="Aptos" w:cs="Aptos"/>
          <w:color w:val="000000" w:themeColor="text1"/>
        </w:rPr>
        <w:t xml:space="preserve">Creating a scenario assessment requires an approach similar to risk assessment development, covered in </w:t>
      </w:r>
      <w:r w:rsidR="1A5DB4F4" w:rsidRPr="00C8452A">
        <w:rPr>
          <w:rFonts w:ascii="Aptos" w:eastAsia="Aptos" w:hAnsi="Aptos" w:cs="Aptos"/>
          <w:color w:val="000000" w:themeColor="text1"/>
        </w:rPr>
        <w:t xml:space="preserve">a </w:t>
      </w:r>
      <w:r w:rsidRPr="00C8452A">
        <w:rPr>
          <w:rFonts w:ascii="Aptos" w:eastAsia="Aptos" w:hAnsi="Aptos" w:cs="Aptos"/>
          <w:color w:val="000000" w:themeColor="text1"/>
        </w:rPr>
        <w:t xml:space="preserve">previous video, </w:t>
      </w:r>
      <w:r w:rsidR="2CFF6CA4" w:rsidRPr="00C8452A">
        <w:rPr>
          <w:rFonts w:ascii="Aptos" w:eastAsia="Aptos" w:hAnsi="Aptos" w:cs="Aptos"/>
          <w:color w:val="000000" w:themeColor="text1"/>
        </w:rPr>
        <w:t>includ</w:t>
      </w:r>
      <w:r w:rsidRPr="00C8452A">
        <w:rPr>
          <w:rFonts w:ascii="Aptos" w:eastAsia="Aptos" w:hAnsi="Aptos" w:cs="Aptos"/>
          <w:color w:val="000000" w:themeColor="text1"/>
        </w:rPr>
        <w:t>ing review of literature,</w:t>
      </w:r>
      <w:r w:rsidR="46E62602" w:rsidRPr="00C8452A">
        <w:rPr>
          <w:rFonts w:ascii="Aptos" w:eastAsia="Aptos" w:hAnsi="Aptos" w:cs="Aptos"/>
          <w:color w:val="000000" w:themeColor="text1"/>
        </w:rPr>
        <w:t xml:space="preserve"> ongoing or potential response activities,</w:t>
      </w:r>
      <w:r w:rsidRPr="00C8452A">
        <w:rPr>
          <w:rFonts w:ascii="Aptos" w:eastAsia="Aptos" w:hAnsi="Aptos" w:cs="Aptos"/>
          <w:color w:val="000000" w:themeColor="text1"/>
        </w:rPr>
        <w:t xml:space="preserve"> </w:t>
      </w:r>
      <w:r w:rsidR="79524016" w:rsidRPr="00C8452A">
        <w:rPr>
          <w:rFonts w:ascii="Aptos" w:eastAsia="Aptos" w:hAnsi="Aptos" w:cs="Aptos"/>
          <w:color w:val="000000" w:themeColor="text1"/>
        </w:rPr>
        <w:t xml:space="preserve">subject matter expert input, </w:t>
      </w:r>
      <w:r w:rsidR="271612C4" w:rsidRPr="00C8452A">
        <w:rPr>
          <w:rFonts w:ascii="Aptos" w:eastAsia="Aptos" w:hAnsi="Aptos" w:cs="Aptos"/>
          <w:color w:val="000000" w:themeColor="text1"/>
        </w:rPr>
        <w:t xml:space="preserve">historical data, </w:t>
      </w:r>
      <w:r w:rsidRPr="00C8452A">
        <w:rPr>
          <w:rFonts w:ascii="Aptos" w:eastAsia="Aptos" w:hAnsi="Aptos" w:cs="Aptos"/>
          <w:color w:val="000000" w:themeColor="text1"/>
        </w:rPr>
        <w:t>and consideration for uncertainties or factors subject to change.</w:t>
      </w:r>
      <w:r w:rsidR="356FE0FB" w:rsidRPr="00C8452A">
        <w:rPr>
          <w:rFonts w:ascii="Aptos" w:eastAsia="Aptos" w:hAnsi="Aptos" w:cs="Aptos"/>
          <w:color w:val="000000" w:themeColor="text1"/>
        </w:rPr>
        <w:t xml:space="preserve"> Scenario assessments can also incorporate modeling results.</w:t>
      </w:r>
      <w:r w:rsidRPr="00C8452A">
        <w:rPr>
          <w:rFonts w:ascii="Aptos" w:eastAsia="Aptos" w:hAnsi="Aptos" w:cs="Aptos"/>
          <w:color w:val="000000" w:themeColor="text1"/>
        </w:rPr>
        <w:t xml:space="preserve"> </w:t>
      </w:r>
    </w:p>
    <w:p w14:paraId="0F0DB72B" w14:textId="1402F2A8" w:rsidR="00143537" w:rsidRPr="00143537" w:rsidRDefault="00143537" w:rsidP="00C8452A">
      <w:pPr>
        <w:rPr>
          <w:rFonts w:ascii="Aptos" w:eastAsia="Aptos" w:hAnsi="Aptos" w:cs="Aptos"/>
          <w:color w:val="FF0000"/>
        </w:rPr>
      </w:pPr>
      <w:r w:rsidRPr="00BD03D3">
        <w:rPr>
          <w:rStyle w:val="normaltextrun"/>
          <w:rFonts w:ascii="Aptos" w:eastAsia="Aptos" w:hAnsi="Aptos" w:cs="Aptos"/>
          <w:color w:val="FF0000"/>
        </w:rPr>
        <w:t>Dr. Cima speaks to camera.</w:t>
      </w:r>
    </w:p>
    <w:p w14:paraId="440E04D6" w14:textId="77777777" w:rsidR="00B772F6" w:rsidRDefault="3DE9EE13" w:rsidP="00C8452A">
      <w:pPr>
        <w:rPr>
          <w:rFonts w:ascii="Aptos" w:eastAsia="Aptos" w:hAnsi="Aptos" w:cs="Aptos"/>
          <w:color w:val="000000" w:themeColor="text1"/>
        </w:rPr>
      </w:pPr>
      <w:r w:rsidRPr="00C8452A">
        <w:rPr>
          <w:rFonts w:ascii="Aptos" w:eastAsia="Aptos" w:hAnsi="Aptos" w:cs="Aptos"/>
          <w:color w:val="000000" w:themeColor="text1"/>
        </w:rPr>
        <w:t xml:space="preserve">Let’s go over the distinct steps to a scenario assessment in more detail. </w:t>
      </w:r>
      <w:r w:rsidR="47B9C963" w:rsidRPr="00C8452A">
        <w:rPr>
          <w:rFonts w:ascii="Aptos" w:eastAsia="Aptos" w:hAnsi="Aptos" w:cs="Aptos"/>
          <w:color w:val="000000" w:themeColor="text1"/>
        </w:rPr>
        <w:t>To begin</w:t>
      </w:r>
      <w:r w:rsidR="3D39E5AA" w:rsidRPr="00C8452A">
        <w:rPr>
          <w:rFonts w:ascii="Aptos" w:eastAsia="Aptos" w:hAnsi="Aptos" w:cs="Aptos"/>
          <w:color w:val="000000" w:themeColor="text1"/>
        </w:rPr>
        <w:t>, a</w:t>
      </w:r>
      <w:r w:rsidR="20314D8D" w:rsidRPr="00C8452A">
        <w:rPr>
          <w:rFonts w:ascii="Aptos" w:eastAsia="Aptos" w:hAnsi="Aptos" w:cs="Aptos"/>
          <w:color w:val="000000" w:themeColor="text1"/>
        </w:rPr>
        <w:t>n assessment team outline</w:t>
      </w:r>
      <w:r w:rsidR="4ADBC81C" w:rsidRPr="00C8452A">
        <w:rPr>
          <w:rFonts w:ascii="Aptos" w:eastAsia="Aptos" w:hAnsi="Aptos" w:cs="Aptos"/>
          <w:color w:val="000000" w:themeColor="text1"/>
        </w:rPr>
        <w:t>s</w:t>
      </w:r>
      <w:r w:rsidR="20314D8D" w:rsidRPr="00C8452A">
        <w:rPr>
          <w:rFonts w:ascii="Aptos" w:eastAsia="Aptos" w:hAnsi="Aptos" w:cs="Aptos"/>
          <w:color w:val="000000" w:themeColor="text1"/>
        </w:rPr>
        <w:t xml:space="preserve"> </w:t>
      </w:r>
      <w:r w:rsidR="6B49E35A" w:rsidRPr="00C8452A">
        <w:rPr>
          <w:rFonts w:ascii="Aptos" w:eastAsia="Aptos" w:hAnsi="Aptos" w:cs="Aptos"/>
          <w:color w:val="000000" w:themeColor="text1"/>
        </w:rPr>
        <w:t xml:space="preserve">at least two or three qualitatively distinct </w:t>
      </w:r>
      <w:r w:rsidR="6668A03A" w:rsidRPr="00C8452A">
        <w:rPr>
          <w:rFonts w:ascii="Aptos" w:eastAsia="Aptos" w:hAnsi="Aptos" w:cs="Aptos"/>
          <w:color w:val="000000" w:themeColor="text1"/>
        </w:rPr>
        <w:t xml:space="preserve">outbreak </w:t>
      </w:r>
      <w:r w:rsidR="6B49E35A" w:rsidRPr="00C8452A">
        <w:rPr>
          <w:rFonts w:ascii="Aptos" w:eastAsia="Aptos" w:hAnsi="Aptos" w:cs="Aptos"/>
          <w:color w:val="000000" w:themeColor="text1"/>
        </w:rPr>
        <w:t xml:space="preserve">scenarios that could occur </w:t>
      </w:r>
      <w:r w:rsidR="20314D8D" w:rsidRPr="00C8452A">
        <w:rPr>
          <w:rFonts w:ascii="Aptos" w:eastAsia="Aptos" w:hAnsi="Aptos" w:cs="Aptos"/>
          <w:color w:val="000000" w:themeColor="text1"/>
        </w:rPr>
        <w:t>and identif</w:t>
      </w:r>
      <w:r w:rsidR="444CDF15" w:rsidRPr="00C8452A">
        <w:rPr>
          <w:rFonts w:ascii="Aptos" w:eastAsia="Aptos" w:hAnsi="Aptos" w:cs="Aptos"/>
          <w:color w:val="000000" w:themeColor="text1"/>
        </w:rPr>
        <w:t>ies</w:t>
      </w:r>
      <w:r w:rsidR="20314D8D" w:rsidRPr="00C8452A">
        <w:rPr>
          <w:rFonts w:ascii="Aptos" w:eastAsia="Aptos" w:hAnsi="Aptos" w:cs="Aptos"/>
          <w:color w:val="000000" w:themeColor="text1"/>
        </w:rPr>
        <w:t xml:space="preserve"> indicators. </w:t>
      </w:r>
    </w:p>
    <w:p w14:paraId="66FE634F" w14:textId="6F8A4A0D" w:rsidR="00B772F6" w:rsidRPr="00460336" w:rsidRDefault="00B772F6" w:rsidP="00C8452A">
      <w:pPr>
        <w:rPr>
          <w:rFonts w:ascii="Aptos" w:eastAsia="Aptos" w:hAnsi="Aptos" w:cs="Aptos"/>
          <w:color w:val="FF0000"/>
        </w:rPr>
      </w:pPr>
      <w:r w:rsidRPr="00460336">
        <w:rPr>
          <w:rFonts w:ascii="Aptos" w:eastAsia="Aptos" w:hAnsi="Aptos" w:cs="Aptos"/>
          <w:color w:val="FF0000"/>
        </w:rPr>
        <w:lastRenderedPageBreak/>
        <w:t>Slide is shown with header “Outline sc</w:t>
      </w:r>
      <w:r w:rsidR="00460336" w:rsidRPr="00460336">
        <w:rPr>
          <w:rFonts w:ascii="Aptos" w:eastAsia="Aptos" w:hAnsi="Aptos" w:cs="Aptos"/>
          <w:color w:val="FF0000"/>
        </w:rPr>
        <w:t>enarios and identify indicators.” Dr. Cima reads</w:t>
      </w:r>
      <w:r w:rsidR="0092406F">
        <w:rPr>
          <w:rFonts w:ascii="Aptos" w:eastAsia="Aptos" w:hAnsi="Aptos" w:cs="Aptos"/>
          <w:color w:val="FF0000"/>
        </w:rPr>
        <w:t xml:space="preserve"> and explains</w:t>
      </w:r>
      <w:r w:rsidR="00460336" w:rsidRPr="00460336">
        <w:rPr>
          <w:rFonts w:ascii="Aptos" w:eastAsia="Aptos" w:hAnsi="Aptos" w:cs="Aptos"/>
          <w:color w:val="FF0000"/>
        </w:rPr>
        <w:t xml:space="preserve"> the remaining slide content.</w:t>
      </w:r>
    </w:p>
    <w:p w14:paraId="369DF645" w14:textId="07A0EF6E" w:rsidR="00D47685" w:rsidRDefault="5C0E768F" w:rsidP="00C8452A">
      <w:pPr>
        <w:rPr>
          <w:rFonts w:ascii="Aptos" w:eastAsia="Aptos" w:hAnsi="Aptos" w:cs="Aptos"/>
          <w:color w:val="000000" w:themeColor="text1"/>
        </w:rPr>
      </w:pPr>
      <w:r w:rsidRPr="00C8452A">
        <w:rPr>
          <w:rFonts w:ascii="Aptos" w:eastAsia="Aptos" w:hAnsi="Aptos" w:cs="Aptos"/>
          <w:color w:val="000000" w:themeColor="text1"/>
        </w:rPr>
        <w:t>Scenarios are described</w:t>
      </w:r>
      <w:r w:rsidR="20314D8D" w:rsidRPr="00C8452A">
        <w:rPr>
          <w:rFonts w:ascii="Aptos" w:eastAsia="Aptos" w:hAnsi="Aptos" w:cs="Aptos"/>
          <w:color w:val="000000" w:themeColor="text1"/>
        </w:rPr>
        <w:t xml:space="preserve"> in terms of outbreak severity, spread, duration, and/or geographic distribution. </w:t>
      </w:r>
      <w:r w:rsidR="29F5E7D1" w:rsidRPr="00C8452A">
        <w:rPr>
          <w:rFonts w:ascii="Aptos" w:eastAsia="Aptos" w:hAnsi="Aptos" w:cs="Aptos"/>
          <w:color w:val="000000" w:themeColor="text1"/>
        </w:rPr>
        <w:t>They</w:t>
      </w:r>
      <w:r w:rsidR="20314D8D" w:rsidRPr="00C8452A">
        <w:rPr>
          <w:rFonts w:ascii="Aptos" w:eastAsia="Aptos" w:hAnsi="Aptos" w:cs="Aptos"/>
          <w:color w:val="000000" w:themeColor="text1"/>
        </w:rPr>
        <w:t xml:space="preserve"> consider insights from previous outbreaks, such as the range of cumulative cases, duration, geographic spread, </w:t>
      </w:r>
      <w:r w:rsidR="663355C9" w:rsidRPr="00C8452A">
        <w:rPr>
          <w:rFonts w:ascii="Aptos" w:eastAsia="Aptos" w:hAnsi="Aptos" w:cs="Aptos"/>
          <w:color w:val="000000" w:themeColor="text1"/>
        </w:rPr>
        <w:t xml:space="preserve">and </w:t>
      </w:r>
      <w:r w:rsidR="20314D8D" w:rsidRPr="00C8452A">
        <w:rPr>
          <w:rFonts w:ascii="Aptos" w:eastAsia="Aptos" w:hAnsi="Aptos" w:cs="Aptos"/>
          <w:color w:val="000000" w:themeColor="text1"/>
        </w:rPr>
        <w:t xml:space="preserve">characteristics of the disease and population, as well as the current state of the outbreak. The team then outlines a set of qualitative or quantitative indicators to broadly help determine which scenario is occurring. </w:t>
      </w:r>
      <w:r w:rsidR="4E8AA711" w:rsidRPr="00C8452A">
        <w:rPr>
          <w:rFonts w:ascii="Aptos" w:eastAsia="Aptos" w:hAnsi="Aptos" w:cs="Aptos"/>
          <w:color w:val="000000" w:themeColor="text1"/>
        </w:rPr>
        <w:t>Indicators can include</w:t>
      </w:r>
      <w:r w:rsidR="20314D8D" w:rsidRPr="00C8452A">
        <w:rPr>
          <w:rFonts w:ascii="Aptos" w:eastAsia="Aptos" w:hAnsi="Aptos" w:cs="Aptos"/>
          <w:color w:val="000000" w:themeColor="text1"/>
        </w:rPr>
        <w:t xml:space="preserve"> measures of outbreak growth or containment, extent and/or success of interventions, and detection of cases in new populations or geographic regions. The indicator assessment can be updated later in the outbreak as information changes.</w:t>
      </w:r>
    </w:p>
    <w:p w14:paraId="65DA2BE8" w14:textId="556F31D7" w:rsidR="004D5F20" w:rsidRPr="004D5F20" w:rsidRDefault="004D5F20" w:rsidP="00C8452A">
      <w:pPr>
        <w:rPr>
          <w:rFonts w:ascii="Aptos" w:eastAsia="Aptos" w:hAnsi="Aptos" w:cs="Aptos"/>
          <w:color w:val="FF0000"/>
        </w:rPr>
      </w:pPr>
      <w:r w:rsidRPr="004D5F20">
        <w:rPr>
          <w:rFonts w:ascii="Aptos" w:eastAsia="Aptos" w:hAnsi="Aptos" w:cs="Aptos"/>
          <w:color w:val="FF0000"/>
        </w:rPr>
        <w:t xml:space="preserve">Slide is </w:t>
      </w:r>
      <w:r>
        <w:rPr>
          <w:rFonts w:ascii="Aptos" w:eastAsia="Aptos" w:hAnsi="Aptos" w:cs="Aptos"/>
          <w:color w:val="FF0000"/>
        </w:rPr>
        <w:t xml:space="preserve">shown with header, “Assess the current scenario.” </w:t>
      </w:r>
      <w:r w:rsidR="00782FBB">
        <w:rPr>
          <w:rFonts w:ascii="Aptos" w:eastAsia="Aptos" w:hAnsi="Aptos" w:cs="Aptos"/>
          <w:color w:val="FF0000"/>
        </w:rPr>
        <w:t xml:space="preserve">It includes written bullet points an example of a scenario assessment indicator table. Indicators are listed in the table with corresponding indicator levels A, B, and C. </w:t>
      </w:r>
      <w:r w:rsidR="00A354BF">
        <w:rPr>
          <w:rFonts w:ascii="Aptos" w:eastAsia="Aptos" w:hAnsi="Aptos" w:cs="Aptos"/>
          <w:color w:val="FF0000"/>
        </w:rPr>
        <w:t>Indicator level is shaded for each indicator in orange. Dr. Cima reads and describes the slide content.</w:t>
      </w:r>
    </w:p>
    <w:p w14:paraId="41E38538" w14:textId="032E5C1A" w:rsidR="00D47685" w:rsidRPr="00C8452A" w:rsidRDefault="20314D8D" w:rsidP="00C8452A">
      <w:pPr>
        <w:rPr>
          <w:rFonts w:ascii="Aptos" w:eastAsia="Aptos" w:hAnsi="Aptos" w:cs="Aptos"/>
          <w:color w:val="000000" w:themeColor="text1"/>
        </w:rPr>
      </w:pPr>
      <w:r w:rsidRPr="00C8452A">
        <w:rPr>
          <w:rFonts w:ascii="Aptos" w:eastAsia="Aptos" w:hAnsi="Aptos" w:cs="Aptos"/>
          <w:color w:val="000000" w:themeColor="text1"/>
        </w:rPr>
        <w:t xml:space="preserve">The team then assesses the current outbreak scenario. This should incorporate available evidence, including expert judgment and data as appropriate and available. Especially early on in an outbreak, there will be uncertainties, so some indicators may be challenging to determine a level and scenario for. Note any areas of uncertainty, as they may be clarified as more outbreak information becomes available. The table on the right is an example of an indicator table, displaying a list of indicators with the currently assessed level (and associated scenario) shaded in orange for each indicator. Based on the assessment of these indicators, we would likely assess that this outbreak is most consistent with Scenario </w:t>
      </w:r>
      <w:r w:rsidR="27D8B67F" w:rsidRPr="00C8452A">
        <w:rPr>
          <w:rFonts w:ascii="Aptos" w:eastAsia="Aptos" w:hAnsi="Aptos" w:cs="Aptos"/>
          <w:color w:val="000000" w:themeColor="text1"/>
        </w:rPr>
        <w:t>A</w:t>
      </w:r>
      <w:r w:rsidRPr="00C8452A">
        <w:rPr>
          <w:rFonts w:ascii="Aptos" w:eastAsia="Aptos" w:hAnsi="Aptos" w:cs="Aptos"/>
          <w:color w:val="000000" w:themeColor="text1"/>
        </w:rPr>
        <w:t>. As a reminder, these indicators can be factors like growth of cases, percentage of cases identified through contact tracing, percentage of cases in isolation, vaccine efficacy, and others, and the assessment may be updated over time.</w:t>
      </w:r>
    </w:p>
    <w:p w14:paraId="7D8AE68E" w14:textId="2E17E39A" w:rsidR="00D47685" w:rsidRDefault="00D47685" w:rsidP="00C8452A">
      <w:pPr>
        <w:pStyle w:val="ListParagraph"/>
        <w:ind w:left="360"/>
        <w:rPr>
          <w:rFonts w:ascii="Aptos" w:eastAsia="Aptos" w:hAnsi="Aptos" w:cs="Aptos"/>
          <w:color w:val="000000" w:themeColor="text1"/>
          <w:highlight w:val="yellow"/>
        </w:rPr>
      </w:pPr>
    </w:p>
    <w:p w14:paraId="2C078E63" w14:textId="678350D0" w:rsidR="00D47685" w:rsidRDefault="00D47685"/>
    <w:sectPr w:rsidR="00D47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401620"/>
    <w:multiLevelType w:val="hybridMultilevel"/>
    <w:tmpl w:val="0CC0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F8E19B"/>
    <w:multiLevelType w:val="hybridMultilevel"/>
    <w:tmpl w:val="3866F516"/>
    <w:lvl w:ilvl="0" w:tplc="EA04621E">
      <w:start w:val="1"/>
      <w:numFmt w:val="bullet"/>
      <w:lvlText w:val=""/>
      <w:lvlJc w:val="left"/>
      <w:pPr>
        <w:ind w:left="11160" w:hanging="360"/>
      </w:pPr>
      <w:rPr>
        <w:rFonts w:ascii="Symbol" w:hAnsi="Symbol" w:hint="default"/>
      </w:rPr>
    </w:lvl>
    <w:lvl w:ilvl="1" w:tplc="A34AEF5A">
      <w:start w:val="1"/>
      <w:numFmt w:val="bullet"/>
      <w:lvlText w:val="o"/>
      <w:lvlJc w:val="left"/>
      <w:pPr>
        <w:ind w:left="11880" w:hanging="360"/>
      </w:pPr>
      <w:rPr>
        <w:rFonts w:ascii="Courier New" w:hAnsi="Courier New" w:hint="default"/>
      </w:rPr>
    </w:lvl>
    <w:lvl w:ilvl="2" w:tplc="F3CEC810">
      <w:start w:val="1"/>
      <w:numFmt w:val="bullet"/>
      <w:lvlText w:val=""/>
      <w:lvlJc w:val="left"/>
      <w:pPr>
        <w:ind w:left="12600" w:hanging="360"/>
      </w:pPr>
      <w:rPr>
        <w:rFonts w:ascii="Wingdings" w:hAnsi="Wingdings" w:hint="default"/>
      </w:rPr>
    </w:lvl>
    <w:lvl w:ilvl="3" w:tplc="9F422C56">
      <w:start w:val="1"/>
      <w:numFmt w:val="bullet"/>
      <w:lvlText w:val=""/>
      <w:lvlJc w:val="left"/>
      <w:pPr>
        <w:ind w:left="13320" w:hanging="360"/>
      </w:pPr>
      <w:rPr>
        <w:rFonts w:ascii="Symbol" w:hAnsi="Symbol" w:hint="default"/>
      </w:rPr>
    </w:lvl>
    <w:lvl w:ilvl="4" w:tplc="27F6590E">
      <w:start w:val="1"/>
      <w:numFmt w:val="bullet"/>
      <w:lvlText w:val="o"/>
      <w:lvlJc w:val="left"/>
      <w:pPr>
        <w:ind w:left="14040" w:hanging="360"/>
      </w:pPr>
      <w:rPr>
        <w:rFonts w:ascii="Courier New" w:hAnsi="Courier New" w:hint="default"/>
      </w:rPr>
    </w:lvl>
    <w:lvl w:ilvl="5" w:tplc="C8144658">
      <w:start w:val="1"/>
      <w:numFmt w:val="bullet"/>
      <w:lvlText w:val=""/>
      <w:lvlJc w:val="left"/>
      <w:pPr>
        <w:ind w:left="14760" w:hanging="360"/>
      </w:pPr>
      <w:rPr>
        <w:rFonts w:ascii="Wingdings" w:hAnsi="Wingdings" w:hint="default"/>
      </w:rPr>
    </w:lvl>
    <w:lvl w:ilvl="6" w:tplc="E974C7EA">
      <w:start w:val="1"/>
      <w:numFmt w:val="bullet"/>
      <w:lvlText w:val=""/>
      <w:lvlJc w:val="left"/>
      <w:pPr>
        <w:ind w:left="15480" w:hanging="360"/>
      </w:pPr>
      <w:rPr>
        <w:rFonts w:ascii="Symbol" w:hAnsi="Symbol" w:hint="default"/>
      </w:rPr>
    </w:lvl>
    <w:lvl w:ilvl="7" w:tplc="00E6C6EA">
      <w:start w:val="1"/>
      <w:numFmt w:val="bullet"/>
      <w:lvlText w:val="o"/>
      <w:lvlJc w:val="left"/>
      <w:pPr>
        <w:ind w:left="16200" w:hanging="360"/>
      </w:pPr>
      <w:rPr>
        <w:rFonts w:ascii="Courier New" w:hAnsi="Courier New" w:hint="default"/>
      </w:rPr>
    </w:lvl>
    <w:lvl w:ilvl="8" w:tplc="918C5238">
      <w:start w:val="1"/>
      <w:numFmt w:val="bullet"/>
      <w:lvlText w:val=""/>
      <w:lvlJc w:val="left"/>
      <w:pPr>
        <w:ind w:left="16920" w:hanging="360"/>
      </w:pPr>
      <w:rPr>
        <w:rFonts w:ascii="Wingdings" w:hAnsi="Wingdings" w:hint="default"/>
      </w:rPr>
    </w:lvl>
  </w:abstractNum>
  <w:abstractNum w:abstractNumId="2" w15:restartNumberingAfterBreak="0">
    <w:nsid w:val="78E08144"/>
    <w:multiLevelType w:val="hybridMultilevel"/>
    <w:tmpl w:val="A7CCB282"/>
    <w:lvl w:ilvl="0" w:tplc="B222339A">
      <w:start w:val="19"/>
      <w:numFmt w:val="decimal"/>
      <w:lvlText w:val="%1."/>
      <w:lvlJc w:val="left"/>
      <w:pPr>
        <w:ind w:left="720" w:hanging="360"/>
      </w:pPr>
      <w:rPr>
        <w:rFonts w:ascii="Aptos" w:hAnsi="Aptos" w:hint="default"/>
      </w:rPr>
    </w:lvl>
    <w:lvl w:ilvl="1" w:tplc="1DA2197A">
      <w:start w:val="1"/>
      <w:numFmt w:val="lowerLetter"/>
      <w:lvlText w:val="%2."/>
      <w:lvlJc w:val="left"/>
      <w:pPr>
        <w:ind w:left="1440" w:hanging="360"/>
      </w:pPr>
    </w:lvl>
    <w:lvl w:ilvl="2" w:tplc="A5F2E298">
      <w:start w:val="1"/>
      <w:numFmt w:val="lowerRoman"/>
      <w:lvlText w:val="%3."/>
      <w:lvlJc w:val="right"/>
      <w:pPr>
        <w:ind w:left="2160" w:hanging="180"/>
      </w:pPr>
    </w:lvl>
    <w:lvl w:ilvl="3" w:tplc="7DF6AA14">
      <w:start w:val="1"/>
      <w:numFmt w:val="decimal"/>
      <w:lvlText w:val="%4."/>
      <w:lvlJc w:val="left"/>
      <w:pPr>
        <w:ind w:left="2880" w:hanging="360"/>
      </w:pPr>
    </w:lvl>
    <w:lvl w:ilvl="4" w:tplc="41106682">
      <w:start w:val="1"/>
      <w:numFmt w:val="lowerLetter"/>
      <w:lvlText w:val="%5."/>
      <w:lvlJc w:val="left"/>
      <w:pPr>
        <w:ind w:left="3600" w:hanging="360"/>
      </w:pPr>
    </w:lvl>
    <w:lvl w:ilvl="5" w:tplc="043E39F8">
      <w:start w:val="1"/>
      <w:numFmt w:val="lowerRoman"/>
      <w:lvlText w:val="%6."/>
      <w:lvlJc w:val="right"/>
      <w:pPr>
        <w:ind w:left="4320" w:hanging="180"/>
      </w:pPr>
    </w:lvl>
    <w:lvl w:ilvl="6" w:tplc="35AA133A">
      <w:start w:val="1"/>
      <w:numFmt w:val="decimal"/>
      <w:lvlText w:val="%7."/>
      <w:lvlJc w:val="left"/>
      <w:pPr>
        <w:ind w:left="5040" w:hanging="360"/>
      </w:pPr>
    </w:lvl>
    <w:lvl w:ilvl="7" w:tplc="0CEE5CFC">
      <w:start w:val="1"/>
      <w:numFmt w:val="lowerLetter"/>
      <w:lvlText w:val="%8."/>
      <w:lvlJc w:val="left"/>
      <w:pPr>
        <w:ind w:left="5760" w:hanging="360"/>
      </w:pPr>
    </w:lvl>
    <w:lvl w:ilvl="8" w:tplc="AF885FD8">
      <w:start w:val="1"/>
      <w:numFmt w:val="lowerRoman"/>
      <w:lvlText w:val="%9."/>
      <w:lvlJc w:val="right"/>
      <w:pPr>
        <w:ind w:left="6480" w:hanging="180"/>
      </w:pPr>
    </w:lvl>
  </w:abstractNum>
  <w:num w:numId="1" w16cid:durableId="811674571">
    <w:abstractNumId w:val="2"/>
  </w:num>
  <w:num w:numId="2" w16cid:durableId="167255103">
    <w:abstractNumId w:val="1"/>
  </w:num>
  <w:num w:numId="3" w16cid:durableId="53654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266149"/>
    <w:rsid w:val="00143537"/>
    <w:rsid w:val="002C1991"/>
    <w:rsid w:val="002E405F"/>
    <w:rsid w:val="00397BB4"/>
    <w:rsid w:val="00426D0F"/>
    <w:rsid w:val="00460336"/>
    <w:rsid w:val="004B62F6"/>
    <w:rsid w:val="004D5F20"/>
    <w:rsid w:val="00684208"/>
    <w:rsid w:val="006F05DB"/>
    <w:rsid w:val="00782FBB"/>
    <w:rsid w:val="0078727B"/>
    <w:rsid w:val="007F0164"/>
    <w:rsid w:val="00821AC9"/>
    <w:rsid w:val="0092406F"/>
    <w:rsid w:val="00A354BF"/>
    <w:rsid w:val="00B772F6"/>
    <w:rsid w:val="00C8452A"/>
    <w:rsid w:val="00D47685"/>
    <w:rsid w:val="00E47295"/>
    <w:rsid w:val="03711FAE"/>
    <w:rsid w:val="04BD33ED"/>
    <w:rsid w:val="079BE1E0"/>
    <w:rsid w:val="07A7ED70"/>
    <w:rsid w:val="0868A265"/>
    <w:rsid w:val="0D2B8792"/>
    <w:rsid w:val="0D42714C"/>
    <w:rsid w:val="0E8FD1E4"/>
    <w:rsid w:val="0FD410C4"/>
    <w:rsid w:val="105A8696"/>
    <w:rsid w:val="13551C20"/>
    <w:rsid w:val="1A2E560E"/>
    <w:rsid w:val="1A5DB4F4"/>
    <w:rsid w:val="1C4AE2A0"/>
    <w:rsid w:val="201265A1"/>
    <w:rsid w:val="20314D8D"/>
    <w:rsid w:val="203DC563"/>
    <w:rsid w:val="20FFB7CB"/>
    <w:rsid w:val="21101BC9"/>
    <w:rsid w:val="24AB0E24"/>
    <w:rsid w:val="250CFBA6"/>
    <w:rsid w:val="271612C4"/>
    <w:rsid w:val="27D8B67F"/>
    <w:rsid w:val="29F5E7D1"/>
    <w:rsid w:val="2B8D0B4E"/>
    <w:rsid w:val="2CEB10D7"/>
    <w:rsid w:val="2CFF6CA4"/>
    <w:rsid w:val="2D909083"/>
    <w:rsid w:val="2F059A9A"/>
    <w:rsid w:val="2F1E2AEA"/>
    <w:rsid w:val="2FFD8F8C"/>
    <w:rsid w:val="31E799C1"/>
    <w:rsid w:val="32CC4182"/>
    <w:rsid w:val="3397B7D9"/>
    <w:rsid w:val="353AF2B2"/>
    <w:rsid w:val="356FE0FB"/>
    <w:rsid w:val="377E2A85"/>
    <w:rsid w:val="3846A4C1"/>
    <w:rsid w:val="3AB9665D"/>
    <w:rsid w:val="3D39E5AA"/>
    <w:rsid w:val="3DE9EE13"/>
    <w:rsid w:val="3F266149"/>
    <w:rsid w:val="3F430307"/>
    <w:rsid w:val="3F517D86"/>
    <w:rsid w:val="444CDF15"/>
    <w:rsid w:val="46E62602"/>
    <w:rsid w:val="475B9C56"/>
    <w:rsid w:val="47B9C963"/>
    <w:rsid w:val="4ABCC8B9"/>
    <w:rsid w:val="4ADBC81C"/>
    <w:rsid w:val="4C6DEC54"/>
    <w:rsid w:val="4E29F45D"/>
    <w:rsid w:val="4E8AA711"/>
    <w:rsid w:val="5023956E"/>
    <w:rsid w:val="510FA355"/>
    <w:rsid w:val="512FF949"/>
    <w:rsid w:val="541879FC"/>
    <w:rsid w:val="554A8364"/>
    <w:rsid w:val="56BFA55B"/>
    <w:rsid w:val="571FA627"/>
    <w:rsid w:val="5C0E768F"/>
    <w:rsid w:val="5D3AD358"/>
    <w:rsid w:val="5DDAEFE3"/>
    <w:rsid w:val="5EEB8575"/>
    <w:rsid w:val="5F526564"/>
    <w:rsid w:val="63BB2092"/>
    <w:rsid w:val="663355C9"/>
    <w:rsid w:val="6668A03A"/>
    <w:rsid w:val="6761A942"/>
    <w:rsid w:val="6A8659E1"/>
    <w:rsid w:val="6B49E35A"/>
    <w:rsid w:val="6D02F4BE"/>
    <w:rsid w:val="6EFB0B40"/>
    <w:rsid w:val="72AFC7B5"/>
    <w:rsid w:val="73009E1C"/>
    <w:rsid w:val="79524016"/>
    <w:rsid w:val="7AA33690"/>
    <w:rsid w:val="7B525029"/>
    <w:rsid w:val="7BF6C5EA"/>
    <w:rsid w:val="7C8677B1"/>
    <w:rsid w:val="7E259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6149"/>
  <w15:chartTrackingRefBased/>
  <w15:docId w15:val="{A68542D0-0033-4710-BB34-D15005EA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B525029"/>
    <w:rPr>
      <w:color w:val="467886"/>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uiPriority w:val="1"/>
    <w:rsid w:val="00143537"/>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66801-44AB-4460-946E-D740ADD5F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239-F90F-4465-B65C-369C630CE55A}">
  <ds:schemaRefs>
    <ds:schemaRef ds:uri="http://schemas.microsoft.com/office/2006/metadata/properties"/>
    <ds:schemaRef ds:uri="http://schemas.microsoft.com/office/infopath/2007/PartnerControls"/>
    <ds:schemaRef ds:uri="1cb68687-f496-4db3-b5bd-c41440381a4a"/>
    <ds:schemaRef ds:uri="bd64ead2-f373-4c38-be2a-defab1dc671f"/>
  </ds:schemaRefs>
</ds:datastoreItem>
</file>

<file path=customXml/itemProps3.xml><?xml version="1.0" encoding="utf-8"?>
<ds:datastoreItem xmlns:ds="http://schemas.openxmlformats.org/officeDocument/2006/customXml" ds:itemID="{E62DBCFE-018D-4A2D-B2F1-BC13DDBF1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2</Pages>
  <Words>644</Words>
  <Characters>3608</Characters>
  <Application>Microsoft Office Word</Application>
  <DocSecurity>0</DocSecurity>
  <Lines>60</Lines>
  <Paragraphs>25</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Cima, Michael (Mike) (CDC/OD/ORR/CFA) (CTR)</dc:creator>
  <cp:keywords/>
  <dc:description/>
  <cp:lastModifiedBy>Koeller, Sarah (CDC/OD/ORR/CFA)</cp:lastModifiedBy>
  <cp:revision>18</cp:revision>
  <dcterms:created xsi:type="dcterms:W3CDTF">2026-05-20T15:19:00Z</dcterms:created>
  <dcterms:modified xsi:type="dcterms:W3CDTF">2026-05-21T12:38:00Z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2026-03-10T18:16:34Z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2a024f34-5c49-4d16-bed1-1ece1ea9ebf0</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