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B9B5" w14:textId="72628FB7" w:rsidR="0065252D" w:rsidRDefault="2C4E57EA" w:rsidP="2C091CD8">
      <w:pPr>
        <w:rPr>
          <w:rFonts w:ascii="Aptos" w:eastAsia="Aptos" w:hAnsi="Aptos" w:cs="Aptos"/>
          <w:b/>
          <w:bCs/>
          <w:color w:val="000000" w:themeColor="text1"/>
        </w:rPr>
      </w:pPr>
      <w:r w:rsidRPr="2C091CD8">
        <w:rPr>
          <w:rFonts w:ascii="Aptos" w:eastAsia="Aptos" w:hAnsi="Aptos" w:cs="Aptos"/>
          <w:b/>
          <w:bCs/>
          <w:color w:val="000000" w:themeColor="text1"/>
        </w:rPr>
        <w:t xml:space="preserve">Practical Modeling Concepts for Public Health – </w:t>
      </w:r>
      <w:r w:rsidR="00C80F66">
        <w:rPr>
          <w:rFonts w:ascii="Aptos" w:eastAsia="Aptos" w:hAnsi="Aptos" w:cs="Aptos"/>
          <w:b/>
          <w:bCs/>
          <w:color w:val="000000" w:themeColor="text1"/>
        </w:rPr>
        <w:t>Video 2a – Mike Cima</w:t>
      </w:r>
    </w:p>
    <w:p w14:paraId="2AC8728D" w14:textId="760BE80F" w:rsidR="007A7E37" w:rsidRPr="001474E0" w:rsidRDefault="007A7E37" w:rsidP="007A7E37">
      <w:pPr>
        <w:rPr>
          <w:rFonts w:ascii="Aptos" w:eastAsia="Aptos" w:hAnsi="Aptos" w:cs="Aptos"/>
          <w:color w:val="FF0000"/>
        </w:rPr>
      </w:pPr>
      <w:r w:rsidRPr="001474E0">
        <w:rPr>
          <w:rFonts w:ascii="Aptos" w:eastAsia="Aptos" w:hAnsi="Aptos" w:cs="Aptos"/>
          <w:color w:val="FF0000"/>
        </w:rPr>
        <w:t>First slide indicates that this is the “</w:t>
      </w:r>
      <w:r w:rsidR="00CD33E7">
        <w:rPr>
          <w:rFonts w:ascii="Aptos" w:eastAsia="Aptos" w:hAnsi="Aptos" w:cs="Aptos"/>
          <w:color w:val="FF0000"/>
        </w:rPr>
        <w:t>Risk Assessments”</w:t>
      </w:r>
      <w:r w:rsidRPr="001474E0">
        <w:rPr>
          <w:rFonts w:ascii="Aptos" w:eastAsia="Aptos" w:hAnsi="Aptos" w:cs="Aptos"/>
          <w:color w:val="FF0000"/>
        </w:rPr>
        <w:t xml:space="preserve"> section of “Practical Modeling Concepts for Public Health” training.</w:t>
      </w:r>
      <w:r w:rsidR="00A82D2E">
        <w:rPr>
          <w:rFonts w:ascii="Aptos" w:eastAsia="Aptos" w:hAnsi="Aptos" w:cs="Aptos"/>
          <w:color w:val="FF0000"/>
        </w:rPr>
        <w:t xml:space="preserve"> It has a blue background with white text and </w:t>
      </w:r>
      <w:proofErr w:type="gramStart"/>
      <w:r w:rsidR="00A82D2E">
        <w:rPr>
          <w:rFonts w:ascii="Aptos" w:eastAsia="Aptos" w:hAnsi="Aptos" w:cs="Aptos"/>
          <w:color w:val="FF0000"/>
        </w:rPr>
        <w:t>a CDC</w:t>
      </w:r>
      <w:proofErr w:type="gramEnd"/>
      <w:r w:rsidR="00A82D2E">
        <w:rPr>
          <w:rFonts w:ascii="Aptos" w:eastAsia="Aptos" w:hAnsi="Aptos" w:cs="Aptos"/>
          <w:color w:val="FF0000"/>
        </w:rPr>
        <w:t xml:space="preserve"> logo.</w:t>
      </w:r>
    </w:p>
    <w:p w14:paraId="533170FD" w14:textId="09DA94FB" w:rsidR="007A7E37" w:rsidRDefault="007A7E37" w:rsidP="2C091CD8">
      <w:pPr>
        <w:rPr>
          <w:rFonts w:ascii="Aptos" w:eastAsia="Aptos" w:hAnsi="Aptos" w:cs="Aptos"/>
          <w:color w:val="000000" w:themeColor="text1"/>
        </w:rPr>
      </w:pPr>
      <w:r w:rsidRPr="001474E0">
        <w:rPr>
          <w:rFonts w:ascii="Aptos" w:eastAsia="Aptos" w:hAnsi="Aptos" w:cs="Aptos"/>
          <w:color w:val="FF0000"/>
        </w:rPr>
        <w:t xml:space="preserve">Next, </w:t>
      </w:r>
      <w:r w:rsidR="00A82D2E">
        <w:rPr>
          <w:rFonts w:ascii="Aptos" w:eastAsia="Aptos" w:hAnsi="Aptos" w:cs="Aptos"/>
          <w:color w:val="FF0000"/>
        </w:rPr>
        <w:t xml:space="preserve">a white man with brown hair wearing a purple shirt, </w:t>
      </w:r>
      <w:r w:rsidRPr="001474E0">
        <w:rPr>
          <w:rFonts w:ascii="Aptos" w:eastAsia="Aptos" w:hAnsi="Aptos" w:cs="Aptos"/>
          <w:color w:val="FF0000"/>
        </w:rPr>
        <w:t xml:space="preserve">Dr. </w:t>
      </w:r>
      <w:r w:rsidR="00CD33E7">
        <w:rPr>
          <w:rFonts w:ascii="Aptos" w:eastAsia="Aptos" w:hAnsi="Aptos" w:cs="Aptos"/>
          <w:color w:val="FF0000"/>
        </w:rPr>
        <w:t>Mike Cima</w:t>
      </w:r>
      <w:r w:rsidR="00A82D2E">
        <w:rPr>
          <w:rFonts w:ascii="Aptos" w:eastAsia="Aptos" w:hAnsi="Aptos" w:cs="Aptos"/>
          <w:color w:val="FF0000"/>
        </w:rPr>
        <w:t>,</w:t>
      </w:r>
      <w:r w:rsidRPr="001474E0">
        <w:rPr>
          <w:rFonts w:ascii="Aptos" w:eastAsia="Aptos" w:hAnsi="Aptos" w:cs="Aptos"/>
          <w:color w:val="FF0000"/>
        </w:rPr>
        <w:t xml:space="preserve"> speaks to the camera. </w:t>
      </w:r>
    </w:p>
    <w:p w14:paraId="327A8940" w14:textId="12B4C8BF" w:rsidR="0065252D" w:rsidRDefault="66C59862" w:rsidP="001D511E">
      <w:pPr>
        <w:rPr>
          <w:rFonts w:ascii="Aptos" w:eastAsia="Aptos" w:hAnsi="Aptos" w:cs="Aptos"/>
          <w:color w:val="000000" w:themeColor="text1"/>
        </w:rPr>
      </w:pPr>
      <w:r w:rsidRPr="001D511E">
        <w:rPr>
          <w:rFonts w:ascii="Aptos" w:eastAsia="Aptos" w:hAnsi="Aptos" w:cs="Aptos"/>
          <w:color w:val="000000" w:themeColor="text1"/>
        </w:rPr>
        <w:t>At CDC, we use a range of quantitative and qualitative techniques in our assessments, which help support public health response and strengthen national security. These include qualitative risk assessments.</w:t>
      </w:r>
    </w:p>
    <w:p w14:paraId="7BAE5904" w14:textId="573C1F96" w:rsidR="00CD33E7" w:rsidRDefault="002E4992" w:rsidP="002E4992">
      <w:pPr>
        <w:spacing w:after="0"/>
        <w:rPr>
          <w:rFonts w:ascii="Aptos" w:eastAsia="Aptos" w:hAnsi="Aptos" w:cs="Aptos"/>
          <w:color w:val="FF0000"/>
        </w:rPr>
      </w:pPr>
      <w:r w:rsidRPr="003D2934">
        <w:rPr>
          <w:rFonts w:ascii="Aptos" w:eastAsia="Aptos" w:hAnsi="Aptos" w:cs="Aptos"/>
          <w:color w:val="FF0000"/>
        </w:rPr>
        <w:t>Slide is shown on the screen that describes “Different types of qualitative assessments and modeling outputs are useful at different horizons.” Slide includes a blue</w:t>
      </w:r>
      <w:r w:rsidR="009A08AE">
        <w:rPr>
          <w:rFonts w:ascii="Aptos" w:eastAsia="Aptos" w:hAnsi="Aptos" w:cs="Aptos"/>
          <w:color w:val="FF0000"/>
        </w:rPr>
        <w:t xml:space="preserve"> themed</w:t>
      </w:r>
      <w:r w:rsidRPr="003D2934">
        <w:rPr>
          <w:rFonts w:ascii="Aptos" w:eastAsia="Aptos" w:hAnsi="Aptos" w:cs="Aptos"/>
          <w:color w:val="FF0000"/>
        </w:rPr>
        <w:t xml:space="preserve"> timeseries image, the “horizon,” with arrows showing points on the timeseries to illustrate nowcasts, short-term forecasts, and scenario models at points in time. A box describing qualitative assessments is along the top of the </w:t>
      </w:r>
      <w:proofErr w:type="gramStart"/>
      <w:r w:rsidRPr="003D2934">
        <w:rPr>
          <w:rFonts w:ascii="Aptos" w:eastAsia="Aptos" w:hAnsi="Aptos" w:cs="Aptos"/>
          <w:color w:val="FF0000"/>
        </w:rPr>
        <w:t>timeseries</w:t>
      </w:r>
      <w:proofErr w:type="gramEnd"/>
      <w:r w:rsidRPr="003D2934">
        <w:rPr>
          <w:rFonts w:ascii="Aptos" w:eastAsia="Aptos" w:hAnsi="Aptos" w:cs="Aptos"/>
          <w:color w:val="FF0000"/>
        </w:rPr>
        <w:t xml:space="preserve"> image. </w:t>
      </w:r>
    </w:p>
    <w:p w14:paraId="199EBE2C" w14:textId="77777777" w:rsidR="002E4992" w:rsidRPr="002E4992" w:rsidRDefault="002E4992" w:rsidP="002E4992">
      <w:pPr>
        <w:spacing w:after="0"/>
        <w:rPr>
          <w:rFonts w:ascii="Aptos" w:eastAsia="Aptos" w:hAnsi="Aptos" w:cs="Aptos"/>
          <w:color w:val="FF0000"/>
        </w:rPr>
      </w:pPr>
    </w:p>
    <w:p w14:paraId="55ECEA21" w14:textId="0D743552" w:rsidR="0065252D" w:rsidRDefault="66C59862" w:rsidP="001D511E">
      <w:pPr>
        <w:rPr>
          <w:rFonts w:ascii="Aptos" w:eastAsia="Aptos" w:hAnsi="Aptos" w:cs="Aptos"/>
          <w:color w:val="000000" w:themeColor="text1"/>
        </w:rPr>
      </w:pPr>
      <w:r w:rsidRPr="001D511E">
        <w:rPr>
          <w:rFonts w:ascii="Aptos" w:eastAsia="Aptos" w:hAnsi="Aptos" w:cs="Aptos"/>
          <w:color w:val="000000" w:themeColor="text1"/>
        </w:rPr>
        <w:t xml:space="preserve">Different types of qualitative assessments and modeling outputs are useful at different horizons. </w:t>
      </w:r>
    </w:p>
    <w:p w14:paraId="5F555197" w14:textId="34297BC6" w:rsidR="009A08AE" w:rsidRPr="009A08AE" w:rsidRDefault="009A08AE" w:rsidP="001D511E">
      <w:pPr>
        <w:rPr>
          <w:rFonts w:ascii="Aptos" w:eastAsia="Aptos" w:hAnsi="Aptos" w:cs="Aptos"/>
          <w:color w:val="FF0000"/>
        </w:rPr>
      </w:pPr>
      <w:r>
        <w:rPr>
          <w:rFonts w:ascii="Aptos" w:eastAsia="Aptos" w:hAnsi="Aptos" w:cs="Aptos"/>
          <w:color w:val="FF0000"/>
        </w:rPr>
        <w:t xml:space="preserve">Timeseries image is </w:t>
      </w:r>
      <w:r w:rsidR="00383A04">
        <w:rPr>
          <w:rFonts w:ascii="Aptos" w:eastAsia="Aptos" w:hAnsi="Aptos" w:cs="Aptos"/>
          <w:color w:val="FF0000"/>
        </w:rPr>
        <w:t>circled as Dr. Cima describes qualitative assessments.</w:t>
      </w:r>
    </w:p>
    <w:p w14:paraId="5214489D" w14:textId="0272CA59" w:rsidR="0065252D" w:rsidRDefault="66C59862" w:rsidP="001D511E">
      <w:pPr>
        <w:rPr>
          <w:rFonts w:ascii="Aptos" w:eastAsia="Aptos" w:hAnsi="Aptos" w:cs="Aptos"/>
          <w:color w:val="000000" w:themeColor="text1"/>
        </w:rPr>
      </w:pPr>
      <w:r w:rsidRPr="001D511E">
        <w:rPr>
          <w:rFonts w:ascii="Aptos" w:eastAsia="Aptos" w:hAnsi="Aptos" w:cs="Aptos"/>
          <w:color w:val="000000" w:themeColor="text1"/>
        </w:rPr>
        <w:t>This section will discuss risk assessments, a type of qualitative assessment that can be done early in an outbreak, even with limited data. These assessments can be updated when more data or analysis becomes available.</w:t>
      </w:r>
    </w:p>
    <w:p w14:paraId="1F6B4164" w14:textId="3EAB9FF8" w:rsidR="00383A04" w:rsidRPr="00383A04" w:rsidRDefault="00770ACC" w:rsidP="001D511E">
      <w:pPr>
        <w:rPr>
          <w:rFonts w:ascii="Aptos" w:eastAsia="Aptos" w:hAnsi="Aptos" w:cs="Aptos"/>
          <w:color w:val="FF0000"/>
        </w:rPr>
      </w:pPr>
      <w:r>
        <w:rPr>
          <w:rFonts w:ascii="Aptos" w:eastAsia="Aptos" w:hAnsi="Aptos" w:cs="Aptos"/>
          <w:color w:val="FF0000"/>
        </w:rPr>
        <w:t xml:space="preserve">Slide is shown with header, “Qualitative outbreak risk assessment,” and is divided into three sections which read: “What is </w:t>
      </w:r>
      <w:proofErr w:type="gramStart"/>
      <w:r>
        <w:rPr>
          <w:rFonts w:ascii="Aptos" w:eastAsia="Aptos" w:hAnsi="Aptos" w:cs="Aptos"/>
          <w:color w:val="FF0000"/>
        </w:rPr>
        <w:t>it?,</w:t>
      </w:r>
      <w:proofErr w:type="gramEnd"/>
      <w:r>
        <w:rPr>
          <w:rFonts w:ascii="Aptos" w:eastAsia="Aptos" w:hAnsi="Aptos" w:cs="Aptos"/>
          <w:color w:val="FF0000"/>
        </w:rPr>
        <w:t xml:space="preserve"> “Why is it </w:t>
      </w:r>
      <w:proofErr w:type="gramStart"/>
      <w:r>
        <w:rPr>
          <w:rFonts w:ascii="Aptos" w:eastAsia="Aptos" w:hAnsi="Aptos" w:cs="Aptos"/>
          <w:color w:val="FF0000"/>
        </w:rPr>
        <w:t>useful?,</w:t>
      </w:r>
      <w:proofErr w:type="gramEnd"/>
      <w:r>
        <w:rPr>
          <w:rFonts w:ascii="Aptos" w:eastAsia="Aptos" w:hAnsi="Aptos" w:cs="Aptos"/>
          <w:color w:val="FF0000"/>
        </w:rPr>
        <w:t xml:space="preserve">” and “Example inputs.” </w:t>
      </w:r>
      <w:r w:rsidR="00386063">
        <w:rPr>
          <w:rFonts w:ascii="Aptos" w:eastAsia="Aptos" w:hAnsi="Aptos" w:cs="Aptos"/>
          <w:color w:val="FF0000"/>
        </w:rPr>
        <w:t>Dr. Cima explains each section.</w:t>
      </w:r>
    </w:p>
    <w:p w14:paraId="1627A702" w14:textId="77777777" w:rsidR="00BD03D3" w:rsidRDefault="66C59862" w:rsidP="001D511E">
      <w:pPr>
        <w:rPr>
          <w:rStyle w:val="normaltextrun"/>
          <w:rFonts w:ascii="Aptos" w:eastAsia="Aptos" w:hAnsi="Aptos" w:cs="Aptos"/>
          <w:color w:val="000000" w:themeColor="text1"/>
        </w:rPr>
      </w:pPr>
      <w:r w:rsidRPr="001D511E">
        <w:rPr>
          <w:rStyle w:val="normaltextrun"/>
          <w:rFonts w:ascii="Aptos" w:eastAsia="Aptos" w:hAnsi="Aptos" w:cs="Aptos"/>
          <w:color w:val="000000" w:themeColor="text1"/>
        </w:rPr>
        <w:t xml:space="preserve">A qualitative risk assessment is a rapid assessment of </w:t>
      </w:r>
      <w:r w:rsidR="0A623937" w:rsidRPr="001D511E">
        <w:rPr>
          <w:rStyle w:val="normaltextrun"/>
          <w:rFonts w:ascii="Aptos" w:eastAsia="Aptos" w:hAnsi="Aptos" w:cs="Aptos"/>
          <w:color w:val="000000" w:themeColor="text1"/>
        </w:rPr>
        <w:t xml:space="preserve">potential </w:t>
      </w:r>
      <w:r w:rsidRPr="001D511E">
        <w:rPr>
          <w:rStyle w:val="normaltextrun"/>
          <w:rFonts w:ascii="Aptos" w:eastAsia="Aptos" w:hAnsi="Aptos" w:cs="Aptos"/>
          <w:color w:val="000000" w:themeColor="text1"/>
        </w:rPr>
        <w:t>public health implications of an outbreak. The assessments often consider risk to the general U.S. population and can also address specific populations at higher risk.</w:t>
      </w:r>
      <w:r w:rsidR="79B11023" w:rsidRPr="001D511E">
        <w:rPr>
          <w:rStyle w:val="normaltextrun"/>
          <w:rFonts w:ascii="Aptos" w:eastAsia="Aptos" w:hAnsi="Aptos" w:cs="Aptos"/>
          <w:color w:val="000000" w:themeColor="text1"/>
        </w:rPr>
        <w:t xml:space="preserve"> They are useful for risk communication and response decision-making</w:t>
      </w:r>
      <w:r w:rsidR="19022824" w:rsidRPr="001D511E">
        <w:rPr>
          <w:rStyle w:val="normaltextrun"/>
          <w:rFonts w:ascii="Aptos" w:eastAsia="Aptos" w:hAnsi="Aptos" w:cs="Aptos"/>
          <w:color w:val="000000" w:themeColor="text1"/>
        </w:rPr>
        <w:t xml:space="preserve">, and </w:t>
      </w:r>
      <w:r w:rsidR="79B11023" w:rsidRPr="001D511E">
        <w:rPr>
          <w:rStyle w:val="normaltextrun"/>
          <w:rFonts w:ascii="Aptos" w:eastAsia="Aptos" w:hAnsi="Aptos" w:cs="Aptos"/>
          <w:color w:val="000000" w:themeColor="text1"/>
        </w:rPr>
        <w:t>when quantitative data may be limited, like early in an outbreak.</w:t>
      </w:r>
      <w:r w:rsidRPr="001D511E">
        <w:rPr>
          <w:rStyle w:val="normaltextrun"/>
          <w:rFonts w:ascii="Aptos" w:eastAsia="Aptos" w:hAnsi="Aptos" w:cs="Aptos"/>
          <w:color w:val="000000" w:themeColor="text1"/>
        </w:rPr>
        <w:t xml:space="preserve"> Standardized but flexible methods are used to develop risk assessments, with inputs ranging from existing literature, the perspectives of subject matter experts, and historical data. As an outbreak progresses, more data and analytics, including modeling, can be integrated. </w:t>
      </w:r>
    </w:p>
    <w:p w14:paraId="2168B97F" w14:textId="4124F5FF" w:rsidR="00BD03D3" w:rsidRPr="00BD03D3" w:rsidRDefault="00BD03D3" w:rsidP="001D511E">
      <w:pPr>
        <w:rPr>
          <w:rStyle w:val="normaltextrun"/>
          <w:rFonts w:ascii="Aptos" w:eastAsia="Aptos" w:hAnsi="Aptos" w:cs="Aptos"/>
          <w:color w:val="FF0000"/>
        </w:rPr>
      </w:pPr>
      <w:r w:rsidRPr="00BD03D3">
        <w:rPr>
          <w:rStyle w:val="normaltextrun"/>
          <w:rFonts w:ascii="Aptos" w:eastAsia="Aptos" w:hAnsi="Aptos" w:cs="Aptos"/>
          <w:color w:val="FF0000"/>
        </w:rPr>
        <w:t>Dr. Cima speaks to camera.</w:t>
      </w:r>
    </w:p>
    <w:p w14:paraId="6D5AF34D" w14:textId="6BFE4EF3" w:rsidR="0065252D" w:rsidRPr="001D511E" w:rsidRDefault="66C59862" w:rsidP="001D511E">
      <w:pPr>
        <w:rPr>
          <w:rFonts w:ascii="Aptos" w:eastAsia="Aptos" w:hAnsi="Aptos" w:cs="Aptos"/>
          <w:color w:val="000000" w:themeColor="text1"/>
        </w:rPr>
      </w:pPr>
      <w:r w:rsidRPr="001D511E">
        <w:rPr>
          <w:rStyle w:val="normaltextrun"/>
          <w:rFonts w:ascii="Aptos" w:eastAsia="Aptos" w:hAnsi="Aptos" w:cs="Aptos"/>
          <w:color w:val="000000" w:themeColor="text1"/>
        </w:rPr>
        <w:lastRenderedPageBreak/>
        <w:t xml:space="preserve">These methods can be applied to outbreaks caused by a wide range of pathogens, facilitating risk prioritization and standardized communication across diseases. </w:t>
      </w:r>
    </w:p>
    <w:p w14:paraId="4F47A5AC" w14:textId="361E32DB" w:rsidR="001B3A6B" w:rsidRPr="001B3A6B" w:rsidRDefault="001B3A6B" w:rsidP="001D511E">
      <w:pPr>
        <w:rPr>
          <w:rFonts w:ascii="Aptos" w:eastAsia="Aptos" w:hAnsi="Aptos" w:cs="Aptos"/>
          <w:color w:val="FF0000"/>
        </w:rPr>
      </w:pPr>
      <w:r>
        <w:rPr>
          <w:rFonts w:ascii="Aptos" w:eastAsia="Aptos" w:hAnsi="Aptos" w:cs="Aptos"/>
          <w:color w:val="FF0000"/>
        </w:rPr>
        <w:t xml:space="preserve">Slide with the title “Risk Assessments combine likelihood and impact” is shown. It shows a matrix with “Impact” labeled on the y-axis and “Likelihood” labeled on the x-axis. </w:t>
      </w:r>
      <w:r w:rsidR="00010BAD">
        <w:rPr>
          <w:rFonts w:ascii="Aptos" w:eastAsia="Aptos" w:hAnsi="Aptos" w:cs="Aptos"/>
          <w:color w:val="FF0000"/>
        </w:rPr>
        <w:t>The Impact axis shows the categories of extremely low, very low, low, moderate, high, and very high. The same categories are listed across the L</w:t>
      </w:r>
      <w:r w:rsidR="00790189">
        <w:rPr>
          <w:rFonts w:ascii="Aptos" w:eastAsia="Aptos" w:hAnsi="Aptos" w:cs="Aptos"/>
          <w:color w:val="FF0000"/>
        </w:rPr>
        <w:t>ikelihood axis. The matrix shows where these categories cross over throughout, and the boxes throughout are shaded blue</w:t>
      </w:r>
      <w:r w:rsidR="0041763B">
        <w:rPr>
          <w:rFonts w:ascii="Aptos" w:eastAsia="Aptos" w:hAnsi="Aptos" w:cs="Aptos"/>
          <w:color w:val="FF0000"/>
        </w:rPr>
        <w:t xml:space="preserve">, green, yellow, orange, and red to indicate the extremely low to very high scale of risk. The bottom of the image includes a “confidence in assessment” label with boxes to the right indicating </w:t>
      </w:r>
      <w:r w:rsidR="005D64C4">
        <w:rPr>
          <w:rFonts w:ascii="Aptos" w:eastAsia="Aptos" w:hAnsi="Aptos" w:cs="Aptos"/>
          <w:color w:val="FF0000"/>
        </w:rPr>
        <w:t xml:space="preserve">low, moderate, and high confidence. </w:t>
      </w:r>
      <w:r w:rsidR="002A1063">
        <w:rPr>
          <w:rFonts w:ascii="Aptos" w:eastAsia="Aptos" w:hAnsi="Aptos" w:cs="Aptos"/>
          <w:color w:val="FF0000"/>
        </w:rPr>
        <w:t>Dr. Cima describes the matrix.</w:t>
      </w:r>
    </w:p>
    <w:p w14:paraId="13EC6F48" w14:textId="63E47ACB" w:rsidR="0065252D" w:rsidRDefault="66C59862" w:rsidP="001D511E">
      <w:pPr>
        <w:rPr>
          <w:rFonts w:ascii="Aptos" w:eastAsia="Aptos" w:hAnsi="Aptos" w:cs="Aptos"/>
          <w:color w:val="000000" w:themeColor="text1"/>
        </w:rPr>
      </w:pPr>
      <w:r w:rsidRPr="001D511E">
        <w:rPr>
          <w:rFonts w:ascii="Aptos" w:eastAsia="Aptos" w:hAnsi="Aptos" w:cs="Aptos"/>
          <w:color w:val="000000" w:themeColor="text1"/>
        </w:rPr>
        <w:t>For each population examined, we estimate risk by assessing the likelihood and impact of infection at a population level. We use a matrix like the one pictured here</w:t>
      </w:r>
      <w:r w:rsidR="0C280943" w:rsidRPr="001D511E">
        <w:rPr>
          <w:rFonts w:ascii="Aptos" w:eastAsia="Aptos" w:hAnsi="Aptos" w:cs="Aptos"/>
          <w:color w:val="000000" w:themeColor="text1"/>
        </w:rPr>
        <w:t xml:space="preserve">, </w:t>
      </w:r>
      <w:proofErr w:type="gramStart"/>
      <w:r w:rsidR="0C280943" w:rsidRPr="001D511E">
        <w:rPr>
          <w:rFonts w:ascii="Aptos" w:eastAsia="Aptos" w:hAnsi="Aptos" w:cs="Aptos"/>
          <w:color w:val="000000" w:themeColor="text1"/>
        </w:rPr>
        <w:t>where</w:t>
      </w:r>
      <w:proofErr w:type="gramEnd"/>
      <w:r w:rsidR="0C280943" w:rsidRPr="001D511E">
        <w:rPr>
          <w:rFonts w:ascii="Aptos" w:eastAsia="Aptos" w:hAnsi="Aptos" w:cs="Aptos"/>
          <w:color w:val="000000" w:themeColor="text1"/>
        </w:rPr>
        <w:t xml:space="preserve"> risk ranges from extremely low to very high</w:t>
      </w:r>
      <w:r w:rsidRPr="001D511E">
        <w:rPr>
          <w:rFonts w:ascii="Aptos" w:eastAsia="Aptos" w:hAnsi="Aptos" w:cs="Aptos"/>
          <w:color w:val="000000" w:themeColor="text1"/>
        </w:rPr>
        <w:t xml:space="preserve">. The risk is higher for a given population as the likelihood and/or impact increases. </w:t>
      </w:r>
    </w:p>
    <w:p w14:paraId="154C5014" w14:textId="1EB06B2F" w:rsidR="000B1182" w:rsidRPr="000B1182" w:rsidRDefault="000B1182" w:rsidP="001D511E">
      <w:pPr>
        <w:rPr>
          <w:rFonts w:ascii="Aptos" w:eastAsia="Aptos" w:hAnsi="Aptos" w:cs="Aptos"/>
          <w:color w:val="FF0000"/>
        </w:rPr>
      </w:pPr>
      <w:r>
        <w:rPr>
          <w:rFonts w:ascii="Aptos" w:eastAsia="Aptos" w:hAnsi="Aptos" w:cs="Aptos"/>
          <w:color w:val="FF0000"/>
        </w:rPr>
        <w:t>The “Likelihood” axis of the matrix is circled.</w:t>
      </w:r>
    </w:p>
    <w:p w14:paraId="07ED9814" w14:textId="7FBB5906" w:rsidR="0065252D" w:rsidRDefault="66C59862" w:rsidP="001D511E">
      <w:pPr>
        <w:rPr>
          <w:rFonts w:ascii="Aptos" w:eastAsia="Aptos" w:hAnsi="Aptos" w:cs="Aptos"/>
          <w:color w:val="000000" w:themeColor="text1"/>
        </w:rPr>
      </w:pPr>
      <w:r w:rsidRPr="001D511E">
        <w:rPr>
          <w:rFonts w:ascii="Aptos" w:eastAsia="Aptos" w:hAnsi="Aptos" w:cs="Aptos"/>
          <w:color w:val="000000" w:themeColor="text1"/>
        </w:rPr>
        <w:t xml:space="preserve">The likelihood of infection refers to the probability or extent of exposure and/or infection across the population of interest. It might consider the number of </w:t>
      </w:r>
      <w:r w:rsidR="03310C8F" w:rsidRPr="001D511E">
        <w:rPr>
          <w:rFonts w:ascii="Aptos" w:eastAsia="Aptos" w:hAnsi="Aptos" w:cs="Aptos"/>
          <w:color w:val="000000" w:themeColor="text1"/>
        </w:rPr>
        <w:t>people infected</w:t>
      </w:r>
      <w:r w:rsidRPr="001D511E">
        <w:rPr>
          <w:rFonts w:ascii="Aptos" w:eastAsia="Aptos" w:hAnsi="Aptos" w:cs="Aptos"/>
          <w:color w:val="000000" w:themeColor="text1"/>
        </w:rPr>
        <w:t>, the infectivity of a pathogen, current population-level immunity, and outbreak response capacity</w:t>
      </w:r>
      <w:r w:rsidR="457C8539" w:rsidRPr="001D511E">
        <w:rPr>
          <w:rFonts w:ascii="Aptos" w:eastAsia="Aptos" w:hAnsi="Aptos" w:cs="Aptos"/>
          <w:color w:val="000000" w:themeColor="text1"/>
        </w:rPr>
        <w:t xml:space="preserve"> to limit spread</w:t>
      </w:r>
      <w:r w:rsidRPr="001D511E">
        <w:rPr>
          <w:rFonts w:ascii="Aptos" w:eastAsia="Aptos" w:hAnsi="Aptos" w:cs="Aptos"/>
          <w:color w:val="000000" w:themeColor="text1"/>
        </w:rPr>
        <w:t>.</w:t>
      </w:r>
    </w:p>
    <w:p w14:paraId="4A4BE634" w14:textId="3F13CB13" w:rsidR="00082F55" w:rsidRPr="00082F55" w:rsidRDefault="00082F55" w:rsidP="001D511E">
      <w:pPr>
        <w:rPr>
          <w:rFonts w:ascii="Aptos" w:eastAsia="Aptos" w:hAnsi="Aptos" w:cs="Aptos"/>
          <w:color w:val="FF0000"/>
        </w:rPr>
      </w:pPr>
      <w:r>
        <w:rPr>
          <w:rFonts w:ascii="Aptos" w:eastAsia="Aptos" w:hAnsi="Aptos" w:cs="Aptos"/>
          <w:color w:val="FF0000"/>
        </w:rPr>
        <w:t>The “Impact” axis of the matrix is circled.</w:t>
      </w:r>
    </w:p>
    <w:p w14:paraId="77CC0860" w14:textId="245E1F5B" w:rsidR="0065252D" w:rsidRDefault="66C59862" w:rsidP="001D511E">
      <w:pPr>
        <w:rPr>
          <w:rFonts w:ascii="Aptos" w:eastAsia="Aptos" w:hAnsi="Aptos" w:cs="Aptos"/>
          <w:color w:val="000000" w:themeColor="text1"/>
        </w:rPr>
      </w:pPr>
      <w:r w:rsidRPr="001D511E">
        <w:rPr>
          <w:rFonts w:ascii="Aptos" w:eastAsia="Aptos" w:hAnsi="Aptos" w:cs="Aptos"/>
          <w:color w:val="000000" w:themeColor="text1"/>
        </w:rPr>
        <w:t xml:space="preserve">Impact refers to the collective impact of both individual infections and population-level consequences. Impact considers disease severity, </w:t>
      </w:r>
      <w:r w:rsidR="1E9DB3DF" w:rsidRPr="001D511E">
        <w:rPr>
          <w:rFonts w:ascii="Aptos" w:eastAsia="Aptos" w:hAnsi="Aptos" w:cs="Aptos"/>
          <w:color w:val="000000" w:themeColor="text1"/>
        </w:rPr>
        <w:t xml:space="preserve">population </w:t>
      </w:r>
      <w:r w:rsidRPr="001D511E">
        <w:rPr>
          <w:rFonts w:ascii="Aptos" w:eastAsia="Aptos" w:hAnsi="Aptos" w:cs="Aptos"/>
          <w:color w:val="000000" w:themeColor="text1"/>
        </w:rPr>
        <w:t xml:space="preserve">immunity against severe disease, and </w:t>
      </w:r>
      <w:r w:rsidR="7065408F" w:rsidRPr="001D511E">
        <w:rPr>
          <w:rFonts w:ascii="Aptos" w:eastAsia="Aptos" w:hAnsi="Aptos" w:cs="Aptos"/>
          <w:color w:val="000000" w:themeColor="text1"/>
        </w:rPr>
        <w:t xml:space="preserve">current resources available to limit </w:t>
      </w:r>
      <w:r w:rsidRPr="001D511E">
        <w:rPr>
          <w:rFonts w:ascii="Aptos" w:eastAsia="Aptos" w:hAnsi="Aptos" w:cs="Aptos"/>
          <w:color w:val="000000" w:themeColor="text1"/>
        </w:rPr>
        <w:t>societal impact</w:t>
      </w:r>
      <w:r w:rsidR="69EA0FC6" w:rsidRPr="001D511E">
        <w:rPr>
          <w:rFonts w:ascii="Aptos" w:eastAsia="Aptos" w:hAnsi="Aptos" w:cs="Aptos"/>
          <w:color w:val="000000" w:themeColor="text1"/>
        </w:rPr>
        <w:t xml:space="preserve"> of infection</w:t>
      </w:r>
      <w:r w:rsidRPr="001D511E">
        <w:rPr>
          <w:rFonts w:ascii="Aptos" w:eastAsia="Aptos" w:hAnsi="Aptos" w:cs="Aptos"/>
          <w:color w:val="000000" w:themeColor="text1"/>
        </w:rPr>
        <w:t xml:space="preserve">. </w:t>
      </w:r>
    </w:p>
    <w:p w14:paraId="7D4D06E6" w14:textId="1D49734B" w:rsidR="00874F55" w:rsidRPr="00874F55" w:rsidRDefault="00874F55" w:rsidP="001D511E">
      <w:pPr>
        <w:rPr>
          <w:rFonts w:ascii="Aptos" w:eastAsia="Aptos" w:hAnsi="Aptos" w:cs="Aptos"/>
          <w:color w:val="FF0000"/>
        </w:rPr>
      </w:pPr>
      <w:r>
        <w:rPr>
          <w:rFonts w:ascii="Aptos" w:eastAsia="Aptos" w:hAnsi="Aptos" w:cs="Aptos"/>
          <w:color w:val="FF0000"/>
        </w:rPr>
        <w:t>The “Confidence” section of the matrix is circled.</w:t>
      </w:r>
    </w:p>
    <w:p w14:paraId="2C078E63" w14:textId="7137DB51" w:rsidR="0065252D" w:rsidRDefault="66C59862">
      <w:pPr>
        <w:rPr>
          <w:rFonts w:ascii="Aptos" w:eastAsia="Aptos" w:hAnsi="Aptos" w:cs="Aptos"/>
          <w:color w:val="000000" w:themeColor="text1"/>
        </w:rPr>
      </w:pPr>
      <w:r w:rsidRPr="001D511E">
        <w:rPr>
          <w:rFonts w:ascii="Aptos" w:eastAsia="Aptos" w:hAnsi="Aptos" w:cs="Aptos"/>
          <w:color w:val="000000" w:themeColor="text1"/>
        </w:rPr>
        <w:t xml:space="preserve">Finally, we also assign </w:t>
      </w:r>
      <w:proofErr w:type="gramStart"/>
      <w:r w:rsidRPr="001D511E">
        <w:rPr>
          <w:rFonts w:ascii="Aptos" w:eastAsia="Aptos" w:hAnsi="Aptos" w:cs="Aptos"/>
          <w:color w:val="000000" w:themeColor="text1"/>
        </w:rPr>
        <w:t>a confidence</w:t>
      </w:r>
      <w:proofErr w:type="gramEnd"/>
      <w:r w:rsidRPr="001D511E">
        <w:rPr>
          <w:rFonts w:ascii="Aptos" w:eastAsia="Aptos" w:hAnsi="Aptos" w:cs="Aptos"/>
          <w:color w:val="000000" w:themeColor="text1"/>
        </w:rPr>
        <w:t xml:space="preserve"> level for each assessment, indicating how much uncertainty we have in the assessment. The confidence assessment considers the quality of evidence, availability and gaps in evidence, and how well lines of evidence corroborate each other.</w:t>
      </w:r>
      <w:r w:rsidR="65B76AF9" w:rsidRPr="001D511E">
        <w:rPr>
          <w:rFonts w:ascii="Aptos" w:eastAsia="Aptos" w:hAnsi="Aptos" w:cs="Aptos"/>
          <w:color w:val="000000" w:themeColor="text1"/>
        </w:rPr>
        <w:t xml:space="preserve"> </w:t>
      </w:r>
    </w:p>
    <w:p w14:paraId="027D9D91" w14:textId="41FE18F8" w:rsidR="00B63B19" w:rsidRPr="00B63B19" w:rsidRDefault="00B63B19">
      <w:pPr>
        <w:rPr>
          <w:rFonts w:ascii="Aptos" w:eastAsia="Aptos" w:hAnsi="Aptos" w:cs="Aptos"/>
          <w:color w:val="FF0000"/>
        </w:rPr>
      </w:pPr>
      <w:r w:rsidRPr="00BD03D3">
        <w:rPr>
          <w:rStyle w:val="normaltextrun"/>
          <w:rFonts w:ascii="Aptos" w:eastAsia="Aptos" w:hAnsi="Aptos" w:cs="Aptos"/>
          <w:color w:val="FF0000"/>
        </w:rPr>
        <w:t>Dr. Cima speaks to camera.</w:t>
      </w:r>
    </w:p>
    <w:p w14:paraId="0977BAFB" w14:textId="13903E15" w:rsidR="00B63B19" w:rsidRPr="001D511E" w:rsidRDefault="00B63B19">
      <w:pPr>
        <w:rPr>
          <w:rFonts w:ascii="Aptos" w:eastAsia="Aptos" w:hAnsi="Aptos" w:cs="Aptos"/>
          <w:color w:val="000000" w:themeColor="text1"/>
        </w:rPr>
      </w:pPr>
      <w:r>
        <w:rPr>
          <w:rFonts w:ascii="Aptos" w:eastAsia="Aptos" w:hAnsi="Aptos" w:cs="Aptos"/>
          <w:color w:val="000000" w:themeColor="text1"/>
        </w:rPr>
        <w:t>We will continue with some examples of risk assessments in the next video.</w:t>
      </w:r>
    </w:p>
    <w:sectPr w:rsidR="00B63B19" w:rsidRPr="001D5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EB45F"/>
    <w:multiLevelType w:val="hybridMultilevel"/>
    <w:tmpl w:val="190ADAB0"/>
    <w:lvl w:ilvl="0" w:tplc="4D7274CC">
      <w:start w:val="1"/>
      <w:numFmt w:val="bullet"/>
      <w:lvlText w:val=""/>
      <w:lvlJc w:val="left"/>
      <w:pPr>
        <w:ind w:left="720" w:hanging="360"/>
      </w:pPr>
      <w:rPr>
        <w:rFonts w:ascii="Symbol" w:hAnsi="Symbol" w:hint="default"/>
      </w:rPr>
    </w:lvl>
    <w:lvl w:ilvl="1" w:tplc="16E25F0E">
      <w:start w:val="1"/>
      <w:numFmt w:val="bullet"/>
      <w:lvlText w:val="o"/>
      <w:lvlJc w:val="left"/>
      <w:pPr>
        <w:ind w:left="1440" w:hanging="360"/>
      </w:pPr>
      <w:rPr>
        <w:rFonts w:ascii="Courier New" w:hAnsi="Courier New" w:hint="default"/>
      </w:rPr>
    </w:lvl>
    <w:lvl w:ilvl="2" w:tplc="284EAC8C">
      <w:start w:val="1"/>
      <w:numFmt w:val="bullet"/>
      <w:lvlText w:val=""/>
      <w:lvlJc w:val="left"/>
      <w:pPr>
        <w:ind w:left="2160" w:hanging="360"/>
      </w:pPr>
      <w:rPr>
        <w:rFonts w:ascii="Wingdings" w:hAnsi="Wingdings" w:hint="default"/>
      </w:rPr>
    </w:lvl>
    <w:lvl w:ilvl="3" w:tplc="F564BF1A">
      <w:start w:val="1"/>
      <w:numFmt w:val="bullet"/>
      <w:lvlText w:val=""/>
      <w:lvlJc w:val="left"/>
      <w:pPr>
        <w:ind w:left="2880" w:hanging="360"/>
      </w:pPr>
      <w:rPr>
        <w:rFonts w:ascii="Symbol" w:hAnsi="Symbol" w:hint="default"/>
      </w:rPr>
    </w:lvl>
    <w:lvl w:ilvl="4" w:tplc="C3120A9E">
      <w:start w:val="1"/>
      <w:numFmt w:val="bullet"/>
      <w:lvlText w:val="o"/>
      <w:lvlJc w:val="left"/>
      <w:pPr>
        <w:ind w:left="3600" w:hanging="360"/>
      </w:pPr>
      <w:rPr>
        <w:rFonts w:ascii="Courier New" w:hAnsi="Courier New" w:hint="default"/>
      </w:rPr>
    </w:lvl>
    <w:lvl w:ilvl="5" w:tplc="D0025A88">
      <w:start w:val="1"/>
      <w:numFmt w:val="bullet"/>
      <w:lvlText w:val=""/>
      <w:lvlJc w:val="left"/>
      <w:pPr>
        <w:ind w:left="4320" w:hanging="360"/>
      </w:pPr>
      <w:rPr>
        <w:rFonts w:ascii="Wingdings" w:hAnsi="Wingdings" w:hint="default"/>
      </w:rPr>
    </w:lvl>
    <w:lvl w:ilvl="6" w:tplc="7DDC0084">
      <w:start w:val="1"/>
      <w:numFmt w:val="bullet"/>
      <w:lvlText w:val=""/>
      <w:lvlJc w:val="left"/>
      <w:pPr>
        <w:ind w:left="5040" w:hanging="360"/>
      </w:pPr>
      <w:rPr>
        <w:rFonts w:ascii="Symbol" w:hAnsi="Symbol" w:hint="default"/>
      </w:rPr>
    </w:lvl>
    <w:lvl w:ilvl="7" w:tplc="2BB635C4">
      <w:start w:val="1"/>
      <w:numFmt w:val="bullet"/>
      <w:lvlText w:val="o"/>
      <w:lvlJc w:val="left"/>
      <w:pPr>
        <w:ind w:left="5760" w:hanging="360"/>
      </w:pPr>
      <w:rPr>
        <w:rFonts w:ascii="Courier New" w:hAnsi="Courier New" w:hint="default"/>
      </w:rPr>
    </w:lvl>
    <w:lvl w:ilvl="8" w:tplc="ED3CDA82">
      <w:start w:val="1"/>
      <w:numFmt w:val="bullet"/>
      <w:lvlText w:val=""/>
      <w:lvlJc w:val="left"/>
      <w:pPr>
        <w:ind w:left="6480" w:hanging="360"/>
      </w:pPr>
      <w:rPr>
        <w:rFonts w:ascii="Wingdings" w:hAnsi="Wingdings" w:hint="default"/>
      </w:rPr>
    </w:lvl>
  </w:abstractNum>
  <w:abstractNum w:abstractNumId="1" w15:restartNumberingAfterBreak="0">
    <w:nsid w:val="5D71C418"/>
    <w:multiLevelType w:val="hybridMultilevel"/>
    <w:tmpl w:val="B9B028CC"/>
    <w:lvl w:ilvl="0" w:tplc="705040D2">
      <w:start w:val="6"/>
      <w:numFmt w:val="decimal"/>
      <w:lvlText w:val="%1."/>
      <w:lvlJc w:val="left"/>
      <w:pPr>
        <w:ind w:left="360" w:hanging="360"/>
      </w:pPr>
      <w:rPr>
        <w:rFonts w:ascii="Aptos" w:hAnsi="Aptos" w:hint="default"/>
      </w:rPr>
    </w:lvl>
    <w:lvl w:ilvl="1" w:tplc="3C5A9BBC">
      <w:start w:val="1"/>
      <w:numFmt w:val="lowerLetter"/>
      <w:lvlText w:val="%2."/>
      <w:lvlJc w:val="left"/>
      <w:pPr>
        <w:ind w:left="1080" w:hanging="360"/>
      </w:pPr>
    </w:lvl>
    <w:lvl w:ilvl="2" w:tplc="E1B2E7DA">
      <w:start w:val="1"/>
      <w:numFmt w:val="lowerRoman"/>
      <w:lvlText w:val="%3."/>
      <w:lvlJc w:val="right"/>
      <w:pPr>
        <w:ind w:left="1800" w:hanging="180"/>
      </w:pPr>
    </w:lvl>
    <w:lvl w:ilvl="3" w:tplc="1A06A994">
      <w:start w:val="1"/>
      <w:numFmt w:val="decimal"/>
      <w:lvlText w:val="%4."/>
      <w:lvlJc w:val="left"/>
      <w:pPr>
        <w:ind w:left="2520" w:hanging="360"/>
      </w:pPr>
    </w:lvl>
    <w:lvl w:ilvl="4" w:tplc="07E6775A">
      <w:start w:val="1"/>
      <w:numFmt w:val="lowerLetter"/>
      <w:lvlText w:val="%5."/>
      <w:lvlJc w:val="left"/>
      <w:pPr>
        <w:ind w:left="3240" w:hanging="360"/>
      </w:pPr>
    </w:lvl>
    <w:lvl w:ilvl="5" w:tplc="27203CE6">
      <w:start w:val="1"/>
      <w:numFmt w:val="lowerRoman"/>
      <w:lvlText w:val="%6."/>
      <w:lvlJc w:val="right"/>
      <w:pPr>
        <w:ind w:left="3960" w:hanging="180"/>
      </w:pPr>
    </w:lvl>
    <w:lvl w:ilvl="6" w:tplc="A1941312">
      <w:start w:val="1"/>
      <w:numFmt w:val="decimal"/>
      <w:lvlText w:val="%7."/>
      <w:lvlJc w:val="left"/>
      <w:pPr>
        <w:ind w:left="4680" w:hanging="360"/>
      </w:pPr>
    </w:lvl>
    <w:lvl w:ilvl="7" w:tplc="1E12233A">
      <w:start w:val="1"/>
      <w:numFmt w:val="lowerLetter"/>
      <w:lvlText w:val="%8."/>
      <w:lvlJc w:val="left"/>
      <w:pPr>
        <w:ind w:left="5400" w:hanging="360"/>
      </w:pPr>
    </w:lvl>
    <w:lvl w:ilvl="8" w:tplc="C9BE299A">
      <w:start w:val="1"/>
      <w:numFmt w:val="lowerRoman"/>
      <w:lvlText w:val="%9."/>
      <w:lvlJc w:val="right"/>
      <w:pPr>
        <w:ind w:left="6120" w:hanging="180"/>
      </w:pPr>
    </w:lvl>
  </w:abstractNum>
  <w:num w:numId="1" w16cid:durableId="116993323">
    <w:abstractNumId w:val="1"/>
  </w:num>
  <w:num w:numId="2" w16cid:durableId="110298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DB61B8"/>
    <w:rsid w:val="00010BAD"/>
    <w:rsid w:val="00082F55"/>
    <w:rsid w:val="000B1182"/>
    <w:rsid w:val="00121246"/>
    <w:rsid w:val="001B3A6B"/>
    <w:rsid w:val="001D511E"/>
    <w:rsid w:val="002A1063"/>
    <w:rsid w:val="002E4992"/>
    <w:rsid w:val="00383A04"/>
    <w:rsid w:val="00386063"/>
    <w:rsid w:val="0041763B"/>
    <w:rsid w:val="005C345C"/>
    <w:rsid w:val="005D64C4"/>
    <w:rsid w:val="0065252D"/>
    <w:rsid w:val="00770ACC"/>
    <w:rsid w:val="00790189"/>
    <w:rsid w:val="007A7E37"/>
    <w:rsid w:val="007E748A"/>
    <w:rsid w:val="007F0164"/>
    <w:rsid w:val="00874F55"/>
    <w:rsid w:val="0093E87A"/>
    <w:rsid w:val="009A08AE"/>
    <w:rsid w:val="009F430E"/>
    <w:rsid w:val="00A82D2E"/>
    <w:rsid w:val="00B63B19"/>
    <w:rsid w:val="00BD03D3"/>
    <w:rsid w:val="00C80F66"/>
    <w:rsid w:val="00CD33E7"/>
    <w:rsid w:val="01408F0F"/>
    <w:rsid w:val="0141C09F"/>
    <w:rsid w:val="03310C8F"/>
    <w:rsid w:val="05F18289"/>
    <w:rsid w:val="07C2FFF4"/>
    <w:rsid w:val="092E88AA"/>
    <w:rsid w:val="0A623937"/>
    <w:rsid w:val="0AD78F95"/>
    <w:rsid w:val="0B34C712"/>
    <w:rsid w:val="0C280943"/>
    <w:rsid w:val="11230A31"/>
    <w:rsid w:val="15E55EC3"/>
    <w:rsid w:val="175AFD8B"/>
    <w:rsid w:val="1787B68C"/>
    <w:rsid w:val="178F5B8B"/>
    <w:rsid w:val="18232FEE"/>
    <w:rsid w:val="19022824"/>
    <w:rsid w:val="1A4028C8"/>
    <w:rsid w:val="1A83039F"/>
    <w:rsid w:val="1B69B9EA"/>
    <w:rsid w:val="1E9DB3DF"/>
    <w:rsid w:val="1FE5D357"/>
    <w:rsid w:val="2020283A"/>
    <w:rsid w:val="22642C38"/>
    <w:rsid w:val="24A47CD8"/>
    <w:rsid w:val="2B555B75"/>
    <w:rsid w:val="2C091CD8"/>
    <w:rsid w:val="2C4E57EA"/>
    <w:rsid w:val="2F7F01DF"/>
    <w:rsid w:val="2FE84CB9"/>
    <w:rsid w:val="305F001D"/>
    <w:rsid w:val="32209856"/>
    <w:rsid w:val="32446A04"/>
    <w:rsid w:val="383A5670"/>
    <w:rsid w:val="3ADB61B8"/>
    <w:rsid w:val="40E69EB6"/>
    <w:rsid w:val="442FCF06"/>
    <w:rsid w:val="457C8539"/>
    <w:rsid w:val="54206DDA"/>
    <w:rsid w:val="5463E356"/>
    <w:rsid w:val="565E58F8"/>
    <w:rsid w:val="569C4239"/>
    <w:rsid w:val="58B5620C"/>
    <w:rsid w:val="590C92C3"/>
    <w:rsid w:val="6578D59A"/>
    <w:rsid w:val="65B76AF9"/>
    <w:rsid w:val="6664BA3B"/>
    <w:rsid w:val="66C59862"/>
    <w:rsid w:val="69A59B14"/>
    <w:rsid w:val="69EA0FC6"/>
    <w:rsid w:val="6BCA84B9"/>
    <w:rsid w:val="6CDFFF6C"/>
    <w:rsid w:val="7065408F"/>
    <w:rsid w:val="72FC5200"/>
    <w:rsid w:val="7608F497"/>
    <w:rsid w:val="773DD12F"/>
    <w:rsid w:val="79B11023"/>
    <w:rsid w:val="79B2E15E"/>
    <w:rsid w:val="7E4D2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61B8"/>
  <w15:chartTrackingRefBased/>
  <w15:docId w15:val="{4BE30EB3-CCAC-444F-AFF2-3B5EC66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C091CD8"/>
    <w:pPr>
      <w:ind w:left="720"/>
      <w:contextualSpacing/>
    </w:pPr>
  </w:style>
  <w:style w:type="character" w:styleId="Hyperlink">
    <w:name w:val="Hyperlink"/>
    <w:basedOn w:val="DefaultParagraphFont"/>
    <w:uiPriority w:val="99"/>
    <w:unhideWhenUsed/>
    <w:rsid w:val="2C091CD8"/>
    <w:rPr>
      <w:color w:val="467886"/>
      <w:u w:val="single"/>
    </w:rPr>
  </w:style>
  <w:style w:type="character" w:customStyle="1" w:styleId="normaltextrun">
    <w:name w:val="normaltextrun"/>
    <w:basedOn w:val="DefaultParagraphFont"/>
    <w:uiPriority w:val="1"/>
    <w:rsid w:val="2FE84CB9"/>
    <w:rPr>
      <w:rFonts w:asciiTheme="minorHAnsi" w:eastAsiaTheme="minorEastAsia" w:hAnsiTheme="minorHAnsi" w:cstheme="minorBidi"/>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D3BC9-2429-482C-B87A-A230FDBB5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1375E-21CB-42E4-B5B0-C05190B54DD9}">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bd64ead2-f373-4c38-be2a-defab1dc671f"/>
    <ds:schemaRef ds:uri="http://schemas.microsoft.com/office/2006/metadata/properties"/>
    <ds:schemaRef ds:uri="http://schemas.openxmlformats.org/package/2006/metadata/core-properties"/>
    <ds:schemaRef ds:uri="1cb68687-f496-4db3-b5bd-c41440381a4a"/>
  </ds:schemaRefs>
</ds:datastoreItem>
</file>

<file path=customXml/itemProps3.xml><?xml version="1.0" encoding="utf-8"?>
<ds:datastoreItem xmlns:ds="http://schemas.openxmlformats.org/officeDocument/2006/customXml" ds:itemID="{F2310DFD-8F81-42FD-BC0F-E333D1F9C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682</Words>
  <Characters>3793</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 Michael (Mike) (CDC/OD/ORR/CFA) (CTR)</dc:creator>
  <cp:keywords/>
  <dc:description/>
  <cp:lastModifiedBy>Koeller, Sarah (CDC/OD/ORR/CFA)</cp:lastModifiedBy>
  <cp:revision>30</cp:revision>
  <dcterms:created xsi:type="dcterms:W3CDTF">2026-03-10T17:38:00Z</dcterms:created>
  <dcterms:modified xsi:type="dcterms:W3CDTF">2026-05-21T13:04:00Z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2026-03-10T17:38:44Z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f82cd469-50d4-438a-8463-cc495b202bce</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