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B27D0" w14:textId="77777777" w:rsidR="00C9103F" w:rsidRPr="001474E0" w:rsidRDefault="00C9103F" w:rsidP="00C9103F">
      <w:pPr>
        <w:rPr>
          <w:rFonts w:ascii="Aptos" w:eastAsia="Aptos" w:hAnsi="Aptos" w:cs="Aptos"/>
          <w:b/>
          <w:bCs/>
          <w:color w:val="000000" w:themeColor="text1"/>
        </w:rPr>
      </w:pPr>
      <w:r w:rsidRPr="001474E0">
        <w:rPr>
          <w:rFonts w:ascii="Aptos" w:eastAsia="Aptos" w:hAnsi="Aptos" w:cs="Aptos"/>
          <w:b/>
          <w:bCs/>
          <w:color w:val="000000" w:themeColor="text1"/>
        </w:rPr>
        <w:t xml:space="preserve">Practical Modeling Concepts for Public Health – Video 1 – Sarah Connolly </w:t>
      </w:r>
    </w:p>
    <w:p w14:paraId="604FEFA1" w14:textId="52EB141E" w:rsidR="00F00AEF" w:rsidRPr="001474E0" w:rsidRDefault="00F00AEF" w:rsidP="00C9103F">
      <w:pPr>
        <w:rPr>
          <w:rFonts w:ascii="Aptos" w:eastAsia="Aptos" w:hAnsi="Aptos" w:cs="Aptos"/>
          <w:color w:val="FF0000"/>
        </w:rPr>
      </w:pPr>
      <w:r w:rsidRPr="001474E0">
        <w:rPr>
          <w:rFonts w:ascii="Aptos" w:eastAsia="Aptos" w:hAnsi="Aptos" w:cs="Aptos"/>
          <w:color w:val="FF0000"/>
        </w:rPr>
        <w:t xml:space="preserve">First </w:t>
      </w:r>
      <w:r w:rsidR="00B35E1C" w:rsidRPr="001474E0">
        <w:rPr>
          <w:rFonts w:ascii="Aptos" w:eastAsia="Aptos" w:hAnsi="Aptos" w:cs="Aptos"/>
          <w:color w:val="FF0000"/>
        </w:rPr>
        <w:t xml:space="preserve">slide </w:t>
      </w:r>
      <w:r w:rsidR="00D35681" w:rsidRPr="001474E0">
        <w:rPr>
          <w:rFonts w:ascii="Aptos" w:eastAsia="Aptos" w:hAnsi="Aptos" w:cs="Aptos"/>
          <w:color w:val="FF0000"/>
        </w:rPr>
        <w:t>indicates that this is the</w:t>
      </w:r>
      <w:r w:rsidR="00B35E1C" w:rsidRPr="001474E0">
        <w:rPr>
          <w:rFonts w:ascii="Aptos" w:eastAsia="Aptos" w:hAnsi="Aptos" w:cs="Aptos"/>
          <w:color w:val="FF0000"/>
        </w:rPr>
        <w:t xml:space="preserve"> “Applying outbreak analytics to public health response” </w:t>
      </w:r>
      <w:r w:rsidR="00D35681" w:rsidRPr="001474E0">
        <w:rPr>
          <w:rFonts w:ascii="Aptos" w:eastAsia="Aptos" w:hAnsi="Aptos" w:cs="Aptos"/>
          <w:color w:val="FF0000"/>
        </w:rPr>
        <w:t>section of “Practical Modeling Concepts for Public Health” training.</w:t>
      </w:r>
      <w:r w:rsidR="000F3BDA">
        <w:rPr>
          <w:rFonts w:ascii="Aptos" w:eastAsia="Aptos" w:hAnsi="Aptos" w:cs="Aptos"/>
          <w:color w:val="FF0000"/>
        </w:rPr>
        <w:t xml:space="preserve"> It has a blue background with white text and </w:t>
      </w:r>
      <w:proofErr w:type="gramStart"/>
      <w:r w:rsidR="000F3BDA">
        <w:rPr>
          <w:rFonts w:ascii="Aptos" w:eastAsia="Aptos" w:hAnsi="Aptos" w:cs="Aptos"/>
          <w:color w:val="FF0000"/>
        </w:rPr>
        <w:t>a CDC</w:t>
      </w:r>
      <w:proofErr w:type="gramEnd"/>
      <w:r w:rsidR="000F3BDA">
        <w:rPr>
          <w:rFonts w:ascii="Aptos" w:eastAsia="Aptos" w:hAnsi="Aptos" w:cs="Aptos"/>
          <w:color w:val="FF0000"/>
        </w:rPr>
        <w:t xml:space="preserve"> logo.</w:t>
      </w:r>
    </w:p>
    <w:p w14:paraId="522B9675" w14:textId="010FA2FA" w:rsidR="00D12669" w:rsidRPr="001474E0" w:rsidRDefault="00D35681" w:rsidP="00C9103F">
      <w:pPr>
        <w:rPr>
          <w:rFonts w:ascii="Aptos" w:eastAsia="Aptos" w:hAnsi="Aptos" w:cs="Aptos"/>
          <w:color w:val="000000" w:themeColor="text1"/>
        </w:rPr>
      </w:pPr>
      <w:r w:rsidRPr="001474E0">
        <w:rPr>
          <w:rFonts w:ascii="Aptos" w:eastAsia="Aptos" w:hAnsi="Aptos" w:cs="Aptos"/>
          <w:color w:val="FF0000"/>
        </w:rPr>
        <w:t xml:space="preserve">Next, </w:t>
      </w:r>
      <w:r w:rsidR="000F3BDA">
        <w:rPr>
          <w:rFonts w:ascii="Aptos" w:eastAsia="Aptos" w:hAnsi="Aptos" w:cs="Aptos"/>
          <w:color w:val="FF0000"/>
        </w:rPr>
        <w:t xml:space="preserve">a white woman with brown hair and a black shirt, </w:t>
      </w:r>
      <w:r w:rsidR="00F00AEF" w:rsidRPr="001474E0">
        <w:rPr>
          <w:rFonts w:ascii="Aptos" w:eastAsia="Aptos" w:hAnsi="Aptos" w:cs="Aptos"/>
          <w:color w:val="FF0000"/>
        </w:rPr>
        <w:t>Dr. Sarah Connolly</w:t>
      </w:r>
      <w:r w:rsidR="000F3BDA">
        <w:rPr>
          <w:rFonts w:ascii="Aptos" w:eastAsia="Aptos" w:hAnsi="Aptos" w:cs="Aptos"/>
          <w:color w:val="FF0000"/>
        </w:rPr>
        <w:t>,</w:t>
      </w:r>
      <w:r w:rsidR="00F00AEF" w:rsidRPr="001474E0">
        <w:rPr>
          <w:rFonts w:ascii="Aptos" w:eastAsia="Aptos" w:hAnsi="Aptos" w:cs="Aptos"/>
          <w:color w:val="FF0000"/>
        </w:rPr>
        <w:t xml:space="preserve"> speak</w:t>
      </w:r>
      <w:r w:rsidRPr="001474E0">
        <w:rPr>
          <w:rFonts w:ascii="Aptos" w:eastAsia="Aptos" w:hAnsi="Aptos" w:cs="Aptos"/>
          <w:color w:val="FF0000"/>
        </w:rPr>
        <w:t>s</w:t>
      </w:r>
      <w:r w:rsidR="00F00AEF" w:rsidRPr="001474E0">
        <w:rPr>
          <w:rFonts w:ascii="Aptos" w:eastAsia="Aptos" w:hAnsi="Aptos" w:cs="Aptos"/>
          <w:color w:val="FF0000"/>
        </w:rPr>
        <w:t xml:space="preserve"> to</w:t>
      </w:r>
      <w:r w:rsidR="004120E3" w:rsidRPr="001474E0">
        <w:rPr>
          <w:rFonts w:ascii="Aptos" w:eastAsia="Aptos" w:hAnsi="Aptos" w:cs="Aptos"/>
          <w:color w:val="FF0000"/>
        </w:rPr>
        <w:t xml:space="preserve"> the</w:t>
      </w:r>
      <w:r w:rsidR="00F00AEF" w:rsidRPr="001474E0">
        <w:rPr>
          <w:rFonts w:ascii="Aptos" w:eastAsia="Aptos" w:hAnsi="Aptos" w:cs="Aptos"/>
          <w:color w:val="FF0000"/>
        </w:rPr>
        <w:t xml:space="preserve"> camera. </w:t>
      </w:r>
    </w:p>
    <w:p w14:paraId="1CFC02B4" w14:textId="091DAABC" w:rsidR="00543227" w:rsidRPr="001474E0" w:rsidRDefault="6B126463" w:rsidP="00C9103F">
      <w:pPr>
        <w:rPr>
          <w:rFonts w:ascii="Aptos" w:eastAsia="Aptos" w:hAnsi="Aptos" w:cs="Aptos"/>
          <w:color w:val="000000" w:themeColor="text1"/>
        </w:rPr>
      </w:pPr>
      <w:r w:rsidRPr="001474E0">
        <w:rPr>
          <w:rFonts w:ascii="Aptos" w:eastAsia="Aptos" w:hAnsi="Aptos" w:cs="Aptos"/>
          <w:color w:val="000000" w:themeColor="text1"/>
        </w:rPr>
        <w:t xml:space="preserve">To begin this training series, let’s discuss how to decide which type of analytic approach is best for your public health </w:t>
      </w:r>
      <w:proofErr w:type="gramStart"/>
      <w:r w:rsidRPr="001474E0">
        <w:rPr>
          <w:rFonts w:ascii="Aptos" w:eastAsia="Aptos" w:hAnsi="Aptos" w:cs="Aptos"/>
          <w:color w:val="000000" w:themeColor="text1"/>
        </w:rPr>
        <w:t>need</w:t>
      </w:r>
      <w:proofErr w:type="gramEnd"/>
      <w:r w:rsidRPr="001474E0">
        <w:rPr>
          <w:rFonts w:ascii="Aptos" w:eastAsia="Aptos" w:hAnsi="Aptos" w:cs="Aptos"/>
          <w:color w:val="000000" w:themeColor="text1"/>
        </w:rPr>
        <w:t xml:space="preserve"> or </w:t>
      </w:r>
      <w:proofErr w:type="gramStart"/>
      <w:r w:rsidRPr="001474E0">
        <w:rPr>
          <w:rFonts w:ascii="Aptos" w:eastAsia="Aptos" w:hAnsi="Aptos" w:cs="Aptos"/>
          <w:color w:val="000000" w:themeColor="text1"/>
        </w:rPr>
        <w:t>question</w:t>
      </w:r>
      <w:proofErr w:type="gramEnd"/>
      <w:r w:rsidRPr="001474E0">
        <w:rPr>
          <w:rFonts w:ascii="Aptos" w:eastAsia="Aptos" w:hAnsi="Aptos" w:cs="Aptos"/>
          <w:color w:val="000000" w:themeColor="text1"/>
        </w:rPr>
        <w:t>.</w:t>
      </w:r>
    </w:p>
    <w:p w14:paraId="557FF803" w14:textId="77777777" w:rsidR="0085256B" w:rsidRPr="001474E0" w:rsidRDefault="6B126463" w:rsidP="0085256B">
      <w:pPr>
        <w:rPr>
          <w:rFonts w:ascii="Aptos" w:eastAsia="Aptos" w:hAnsi="Aptos" w:cs="Aptos"/>
          <w:color w:val="000000" w:themeColor="text1"/>
        </w:rPr>
      </w:pPr>
      <w:r w:rsidRPr="001474E0">
        <w:rPr>
          <w:rFonts w:ascii="Aptos" w:eastAsia="Aptos" w:hAnsi="Aptos" w:cs="Aptos"/>
          <w:color w:val="000000" w:themeColor="text1"/>
        </w:rPr>
        <w:t xml:space="preserve">The best analytic approach depends on the type and timing of your public health question or the decision you are trying to make. </w:t>
      </w:r>
    </w:p>
    <w:p w14:paraId="0EF82C71" w14:textId="6198AE34" w:rsidR="0085256B" w:rsidRPr="00812D84" w:rsidRDefault="00812D84" w:rsidP="0085256B">
      <w:pPr>
        <w:rPr>
          <w:rFonts w:ascii="Aptos" w:eastAsia="Aptos" w:hAnsi="Aptos" w:cs="Aptos"/>
          <w:color w:val="FF0000"/>
        </w:rPr>
      </w:pPr>
      <w:r w:rsidRPr="001474E0">
        <w:rPr>
          <w:rFonts w:ascii="Aptos" w:eastAsia="Aptos" w:hAnsi="Aptos" w:cs="Aptos"/>
          <w:color w:val="FF0000"/>
        </w:rPr>
        <w:t xml:space="preserve">Slide is shown on the screen that describes “Choosing an analytic approach depends on the context.” Dr. Connolly reads the slide </w:t>
      </w:r>
      <w:r w:rsidR="00401432">
        <w:rPr>
          <w:rFonts w:ascii="Aptos" w:eastAsia="Aptos" w:hAnsi="Aptos" w:cs="Aptos"/>
          <w:color w:val="FF0000"/>
        </w:rPr>
        <w:t>text</w:t>
      </w:r>
      <w:r w:rsidRPr="001474E0">
        <w:rPr>
          <w:rFonts w:ascii="Aptos" w:eastAsia="Aptos" w:hAnsi="Aptos" w:cs="Aptos"/>
          <w:color w:val="FF0000"/>
        </w:rPr>
        <w:t>.</w:t>
      </w:r>
    </w:p>
    <w:p w14:paraId="4F5D2ACB" w14:textId="295A799C" w:rsidR="00543227" w:rsidRPr="0085256B" w:rsidRDefault="6B126463" w:rsidP="0085256B">
      <w:pPr>
        <w:rPr>
          <w:rFonts w:ascii="Aptos" w:eastAsia="Aptos" w:hAnsi="Aptos" w:cs="Aptos"/>
          <w:color w:val="000000" w:themeColor="text1"/>
        </w:rPr>
      </w:pPr>
      <w:r w:rsidRPr="0085256B">
        <w:rPr>
          <w:rFonts w:ascii="Aptos" w:eastAsia="Aptos" w:hAnsi="Aptos" w:cs="Aptos"/>
          <w:color w:val="000000" w:themeColor="text1"/>
        </w:rPr>
        <w:t xml:space="preserve">For example, are you trying to decide between multiple possible interventions? Are you trying to improve your real-time situational awareness? Are you trying to predict future disease trends? Or are you evaluating </w:t>
      </w:r>
      <w:proofErr w:type="gramStart"/>
      <w:r w:rsidRPr="0085256B">
        <w:rPr>
          <w:rFonts w:ascii="Aptos" w:eastAsia="Aptos" w:hAnsi="Aptos" w:cs="Aptos"/>
          <w:color w:val="000000" w:themeColor="text1"/>
        </w:rPr>
        <w:t>a past</w:t>
      </w:r>
      <w:proofErr w:type="gramEnd"/>
      <w:r w:rsidRPr="0085256B">
        <w:rPr>
          <w:rFonts w:ascii="Aptos" w:eastAsia="Aptos" w:hAnsi="Aptos" w:cs="Aptos"/>
          <w:color w:val="000000" w:themeColor="text1"/>
        </w:rPr>
        <w:t xml:space="preserve"> public health action? Each of these could require a different type of modeling approach and output. </w:t>
      </w:r>
    </w:p>
    <w:p w14:paraId="490B1F7E" w14:textId="24716B0A" w:rsidR="00543227" w:rsidRPr="00CE7A14" w:rsidRDefault="6B126463" w:rsidP="00CE7A14">
      <w:pPr>
        <w:rPr>
          <w:rFonts w:ascii="Aptos" w:eastAsia="Aptos" w:hAnsi="Aptos" w:cs="Aptos"/>
          <w:color w:val="000000" w:themeColor="text1"/>
        </w:rPr>
      </w:pPr>
      <w:r w:rsidRPr="00CE7A14">
        <w:rPr>
          <w:rFonts w:ascii="Aptos" w:eastAsia="Aptos" w:hAnsi="Aptos" w:cs="Aptos"/>
          <w:color w:val="000000" w:themeColor="text1"/>
        </w:rPr>
        <w:t xml:space="preserve">Another factor is how much time you have. How quickly you need information to help </w:t>
      </w:r>
      <w:proofErr w:type="gramStart"/>
      <w:r w:rsidRPr="00CE7A14">
        <w:rPr>
          <w:rFonts w:ascii="Aptos" w:eastAsia="Aptos" w:hAnsi="Aptos" w:cs="Aptos"/>
          <w:color w:val="000000" w:themeColor="text1"/>
        </w:rPr>
        <w:t>make a decision</w:t>
      </w:r>
      <w:proofErr w:type="gramEnd"/>
      <w:r w:rsidRPr="00CE7A14">
        <w:rPr>
          <w:rFonts w:ascii="Aptos" w:eastAsia="Aptos" w:hAnsi="Aptos" w:cs="Aptos"/>
          <w:color w:val="000000" w:themeColor="text1"/>
        </w:rPr>
        <w:t xml:space="preserve"> or inform the public could impact which type of analysis or modeling output you select. For example, some types of analyses, models, or forecasts can be generated quickly, whereas other more sophisticated outputs take longer to conduct, build, and validate. </w:t>
      </w:r>
    </w:p>
    <w:p w14:paraId="5DC04FFC" w14:textId="77777777" w:rsidR="00794731" w:rsidRDefault="6B126463" w:rsidP="00CE7A14">
      <w:pPr>
        <w:spacing w:after="0"/>
        <w:rPr>
          <w:rFonts w:ascii="Aptos" w:eastAsia="Aptos" w:hAnsi="Aptos" w:cs="Aptos"/>
          <w:color w:val="000000" w:themeColor="text1"/>
        </w:rPr>
      </w:pPr>
      <w:r w:rsidRPr="00CE7A14">
        <w:rPr>
          <w:rFonts w:ascii="Aptos" w:eastAsia="Aptos" w:hAnsi="Aptos" w:cs="Aptos"/>
          <w:color w:val="000000" w:themeColor="text1"/>
        </w:rPr>
        <w:t xml:space="preserve">The amount and quality of information and data available is also important. </w:t>
      </w:r>
    </w:p>
    <w:p w14:paraId="0A930FCF" w14:textId="77777777" w:rsidR="00794731" w:rsidRDefault="00794731" w:rsidP="00CE7A14">
      <w:pPr>
        <w:spacing w:after="0"/>
        <w:rPr>
          <w:rFonts w:ascii="Aptos" w:eastAsia="Aptos" w:hAnsi="Aptos" w:cs="Aptos"/>
          <w:color w:val="000000" w:themeColor="text1"/>
        </w:rPr>
      </w:pPr>
    </w:p>
    <w:p w14:paraId="3E9E5ED8" w14:textId="72C936BF" w:rsidR="00794731" w:rsidRDefault="00794731" w:rsidP="00CE7A14">
      <w:pPr>
        <w:spacing w:after="0"/>
        <w:rPr>
          <w:rFonts w:ascii="Aptos" w:eastAsia="Aptos" w:hAnsi="Aptos" w:cs="Aptos"/>
          <w:color w:val="000000" w:themeColor="text1"/>
        </w:rPr>
      </w:pPr>
      <w:r w:rsidRPr="001474E0">
        <w:rPr>
          <w:rFonts w:ascii="Aptos" w:eastAsia="Aptos" w:hAnsi="Aptos" w:cs="Aptos"/>
          <w:color w:val="FF0000"/>
        </w:rPr>
        <w:t>Dr. Connolly speaks to the camera.</w:t>
      </w:r>
    </w:p>
    <w:p w14:paraId="0752A3FD" w14:textId="77777777" w:rsidR="00794731" w:rsidRDefault="00794731" w:rsidP="00CE7A14">
      <w:pPr>
        <w:spacing w:after="0"/>
        <w:rPr>
          <w:rFonts w:ascii="Aptos" w:eastAsia="Aptos" w:hAnsi="Aptos" w:cs="Aptos"/>
          <w:color w:val="000000" w:themeColor="text1"/>
        </w:rPr>
      </w:pPr>
    </w:p>
    <w:p w14:paraId="229F45D9" w14:textId="35C96777" w:rsidR="00543227" w:rsidRDefault="6B126463" w:rsidP="00CE7A14">
      <w:pPr>
        <w:spacing w:after="0"/>
        <w:rPr>
          <w:rFonts w:ascii="Aptos" w:eastAsia="Aptos" w:hAnsi="Aptos" w:cs="Aptos"/>
          <w:color w:val="000000" w:themeColor="text1"/>
        </w:rPr>
      </w:pPr>
      <w:r w:rsidRPr="00CE7A14">
        <w:rPr>
          <w:rFonts w:ascii="Aptos" w:eastAsia="Aptos" w:hAnsi="Aptos" w:cs="Aptos"/>
          <w:color w:val="000000" w:themeColor="text1"/>
        </w:rPr>
        <w:t xml:space="preserve">If it’s early on in an outbreak, or you’re a dealing with a novel pathogen, there might be less information, or lower quality information, available compared to </w:t>
      </w:r>
      <w:proofErr w:type="gramStart"/>
      <w:r w:rsidRPr="00CE7A14">
        <w:rPr>
          <w:rFonts w:ascii="Aptos" w:eastAsia="Aptos" w:hAnsi="Aptos" w:cs="Aptos"/>
          <w:color w:val="000000" w:themeColor="text1"/>
        </w:rPr>
        <w:t>a situation</w:t>
      </w:r>
      <w:proofErr w:type="gramEnd"/>
      <w:r w:rsidRPr="00CE7A14">
        <w:rPr>
          <w:rFonts w:ascii="Aptos" w:eastAsia="Aptos" w:hAnsi="Aptos" w:cs="Aptos"/>
          <w:color w:val="000000" w:themeColor="text1"/>
        </w:rPr>
        <w:t xml:space="preserve"> like routine seasonal respiratory virus surveillance. </w:t>
      </w:r>
    </w:p>
    <w:p w14:paraId="1BC03362" w14:textId="77777777" w:rsidR="00CE7A14" w:rsidRDefault="00CE7A14" w:rsidP="00CE7A14">
      <w:pPr>
        <w:spacing w:after="0"/>
        <w:rPr>
          <w:rFonts w:ascii="Aptos" w:eastAsia="Aptos" w:hAnsi="Aptos" w:cs="Aptos"/>
          <w:color w:val="000000" w:themeColor="text1"/>
        </w:rPr>
      </w:pPr>
    </w:p>
    <w:p w14:paraId="04BF9968" w14:textId="2C4627DD" w:rsidR="00BF6DCC" w:rsidRPr="003D2934" w:rsidRDefault="00BF6DCC" w:rsidP="00CE7A14">
      <w:pPr>
        <w:spacing w:after="0"/>
        <w:rPr>
          <w:rFonts w:ascii="Aptos" w:eastAsia="Aptos" w:hAnsi="Aptos" w:cs="Aptos"/>
          <w:color w:val="FF0000"/>
        </w:rPr>
      </w:pPr>
      <w:r w:rsidRPr="003D2934">
        <w:rPr>
          <w:rFonts w:ascii="Aptos" w:eastAsia="Aptos" w:hAnsi="Aptos" w:cs="Aptos"/>
          <w:color w:val="FF0000"/>
        </w:rPr>
        <w:t>Slide is shown on the screen that describes “Different types of qualitative assessments and modeling outputs are useful at different horizons.” Slide includes a bl</w:t>
      </w:r>
      <w:r w:rsidR="00454E05" w:rsidRPr="003D2934">
        <w:rPr>
          <w:rFonts w:ascii="Aptos" w:eastAsia="Aptos" w:hAnsi="Aptos" w:cs="Aptos"/>
          <w:color w:val="FF0000"/>
        </w:rPr>
        <w:t>ue timeseries image</w:t>
      </w:r>
      <w:r w:rsidR="00CC4180" w:rsidRPr="003D2934">
        <w:rPr>
          <w:rFonts w:ascii="Aptos" w:eastAsia="Aptos" w:hAnsi="Aptos" w:cs="Aptos"/>
          <w:color w:val="FF0000"/>
        </w:rPr>
        <w:t xml:space="preserve">, the </w:t>
      </w:r>
      <w:r w:rsidR="003D2934" w:rsidRPr="003D2934">
        <w:rPr>
          <w:rFonts w:ascii="Aptos" w:eastAsia="Aptos" w:hAnsi="Aptos" w:cs="Aptos"/>
          <w:color w:val="FF0000"/>
        </w:rPr>
        <w:t>“horizon,”</w:t>
      </w:r>
      <w:r w:rsidR="00454E05" w:rsidRPr="003D2934">
        <w:rPr>
          <w:rFonts w:ascii="Aptos" w:eastAsia="Aptos" w:hAnsi="Aptos" w:cs="Aptos"/>
          <w:color w:val="FF0000"/>
        </w:rPr>
        <w:t xml:space="preserve"> with</w:t>
      </w:r>
      <w:r w:rsidR="00CC4180" w:rsidRPr="003D2934">
        <w:rPr>
          <w:rFonts w:ascii="Aptos" w:eastAsia="Aptos" w:hAnsi="Aptos" w:cs="Aptos"/>
          <w:color w:val="FF0000"/>
        </w:rPr>
        <w:t xml:space="preserve"> arrows showing points on the timeseries to illustrate nowcasts, short-term forecasts, and scenario models at points in time. A box describing qualitative </w:t>
      </w:r>
      <w:r w:rsidR="00CC4180" w:rsidRPr="003D2934">
        <w:rPr>
          <w:rFonts w:ascii="Aptos" w:eastAsia="Aptos" w:hAnsi="Aptos" w:cs="Aptos"/>
          <w:color w:val="FF0000"/>
        </w:rPr>
        <w:lastRenderedPageBreak/>
        <w:t xml:space="preserve">assessments is along the top of the </w:t>
      </w:r>
      <w:proofErr w:type="gramStart"/>
      <w:r w:rsidR="00CC4180" w:rsidRPr="003D2934">
        <w:rPr>
          <w:rFonts w:ascii="Aptos" w:eastAsia="Aptos" w:hAnsi="Aptos" w:cs="Aptos"/>
          <w:color w:val="FF0000"/>
        </w:rPr>
        <w:t>timeseries</w:t>
      </w:r>
      <w:proofErr w:type="gramEnd"/>
      <w:r w:rsidR="00CC4180" w:rsidRPr="003D2934">
        <w:rPr>
          <w:rFonts w:ascii="Aptos" w:eastAsia="Aptos" w:hAnsi="Aptos" w:cs="Aptos"/>
          <w:color w:val="FF0000"/>
        </w:rPr>
        <w:t xml:space="preserve"> image. Dr. Connolly describes these elements. </w:t>
      </w:r>
    </w:p>
    <w:p w14:paraId="48F32F4C" w14:textId="77777777" w:rsidR="003D2934" w:rsidRDefault="6B126463" w:rsidP="00CE7A14">
      <w:pPr>
        <w:rPr>
          <w:rFonts w:ascii="Aptos" w:eastAsia="Aptos" w:hAnsi="Aptos" w:cs="Aptos"/>
          <w:color w:val="000000" w:themeColor="text1"/>
        </w:rPr>
      </w:pPr>
      <w:r w:rsidRPr="00CE7A14">
        <w:rPr>
          <w:rFonts w:ascii="Aptos" w:eastAsia="Aptos" w:hAnsi="Aptos" w:cs="Aptos"/>
          <w:color w:val="000000" w:themeColor="text1"/>
        </w:rPr>
        <w:t>Different types of analytic outputs are useful at different time horizons. The term “horizon” refers to how far in the past or future you are considering. In this series, we will discuss four different types of outputs that are appropriate at different time horizons of an epidemic curve. The first are qualitative assessments. These are rapid analyses of potential outbreak trajectory and risk posed to a given population, and can be used at any time horizon, including very early in an outbreak</w:t>
      </w:r>
      <w:r w:rsidR="77E04C8D" w:rsidRPr="00CE7A14">
        <w:rPr>
          <w:rFonts w:ascii="Aptos" w:eastAsia="Aptos" w:hAnsi="Aptos" w:cs="Aptos"/>
          <w:color w:val="000000" w:themeColor="text1"/>
        </w:rPr>
        <w:t xml:space="preserve"> when data are limited, and revisited at any point as more data </w:t>
      </w:r>
      <w:proofErr w:type="gramStart"/>
      <w:r w:rsidR="77E04C8D" w:rsidRPr="00CE7A14">
        <w:rPr>
          <w:rFonts w:ascii="Aptos" w:eastAsia="Aptos" w:hAnsi="Aptos" w:cs="Aptos"/>
          <w:color w:val="000000" w:themeColor="text1"/>
        </w:rPr>
        <w:t>become</w:t>
      </w:r>
      <w:proofErr w:type="gramEnd"/>
      <w:r w:rsidR="77E04C8D" w:rsidRPr="00CE7A14">
        <w:rPr>
          <w:rFonts w:ascii="Aptos" w:eastAsia="Aptos" w:hAnsi="Aptos" w:cs="Aptos"/>
          <w:color w:val="000000" w:themeColor="text1"/>
        </w:rPr>
        <w:t xml:space="preserve"> available</w:t>
      </w:r>
      <w:r w:rsidRPr="00CE7A14">
        <w:rPr>
          <w:rFonts w:ascii="Aptos" w:eastAsia="Aptos" w:hAnsi="Aptos" w:cs="Aptos"/>
          <w:color w:val="000000" w:themeColor="text1"/>
        </w:rPr>
        <w:t>. The next are nowcasts, pointed out in green. As the word “now” in the name implies, they are helpful in the present to estimate real time disease burden based on partially reported data. The third are short-term forecasts, pointed out in light blue, which are useful in the very near future for predicting disease burden in the coming days and weeks. Last are scenario models in the dark blue, which are used to compare different potential, hypothetical, versions of the longer</w:t>
      </w:r>
      <w:r w:rsidR="439C9146" w:rsidRPr="00CE7A14">
        <w:rPr>
          <w:rFonts w:ascii="Aptos" w:eastAsia="Aptos" w:hAnsi="Aptos" w:cs="Aptos"/>
          <w:color w:val="000000" w:themeColor="text1"/>
        </w:rPr>
        <w:t>-</w:t>
      </w:r>
      <w:r w:rsidRPr="00CE7A14">
        <w:rPr>
          <w:rFonts w:ascii="Aptos" w:eastAsia="Aptos" w:hAnsi="Aptos" w:cs="Aptos"/>
          <w:color w:val="000000" w:themeColor="text1"/>
        </w:rPr>
        <w:t xml:space="preserve">term future – or scenarios </w:t>
      </w:r>
      <w:proofErr w:type="gramStart"/>
      <w:r w:rsidRPr="00CE7A14">
        <w:rPr>
          <w:rFonts w:ascii="Aptos" w:eastAsia="Aptos" w:hAnsi="Aptos" w:cs="Aptos"/>
          <w:color w:val="000000" w:themeColor="text1"/>
        </w:rPr>
        <w:t>–  based</w:t>
      </w:r>
      <w:proofErr w:type="gramEnd"/>
      <w:r w:rsidRPr="00CE7A14">
        <w:rPr>
          <w:rFonts w:ascii="Aptos" w:eastAsia="Aptos" w:hAnsi="Aptos" w:cs="Aptos"/>
          <w:color w:val="000000" w:themeColor="text1"/>
        </w:rPr>
        <w:t xml:space="preserve"> on varied assumptions including factors such as what public health measures are applied or how rapidly the pathogen evolves. These could be useful months into the future or even into the past. </w:t>
      </w:r>
    </w:p>
    <w:p w14:paraId="6B7DD5E4" w14:textId="1A74011C" w:rsidR="003D2934" w:rsidRDefault="003D2934" w:rsidP="003D2934">
      <w:pPr>
        <w:spacing w:after="0"/>
        <w:rPr>
          <w:rFonts w:ascii="Aptos" w:eastAsia="Aptos" w:hAnsi="Aptos" w:cs="Aptos"/>
          <w:color w:val="000000" w:themeColor="text1"/>
        </w:rPr>
      </w:pPr>
      <w:r w:rsidRPr="001474E0">
        <w:rPr>
          <w:rFonts w:ascii="Aptos" w:eastAsia="Aptos" w:hAnsi="Aptos" w:cs="Aptos"/>
          <w:color w:val="FF0000"/>
        </w:rPr>
        <w:t>Dr. Connolly speaks to the camera.</w:t>
      </w:r>
    </w:p>
    <w:p w14:paraId="4EFABCD8" w14:textId="77777777" w:rsidR="003D2934" w:rsidRDefault="003D2934" w:rsidP="003D2934">
      <w:pPr>
        <w:spacing w:after="0"/>
        <w:rPr>
          <w:rFonts w:ascii="Aptos" w:eastAsia="Aptos" w:hAnsi="Aptos" w:cs="Aptos"/>
          <w:color w:val="000000" w:themeColor="text1"/>
        </w:rPr>
      </w:pPr>
    </w:p>
    <w:p w14:paraId="5D40842D" w14:textId="346A424A" w:rsidR="00543227" w:rsidRPr="003D2934" w:rsidRDefault="6B126463" w:rsidP="00CE7A14">
      <w:pPr>
        <w:rPr>
          <w:rFonts w:ascii="Aptos" w:eastAsia="Aptos" w:hAnsi="Aptos" w:cs="Aptos"/>
          <w:color w:val="000000" w:themeColor="text1"/>
        </w:rPr>
      </w:pPr>
      <w:r w:rsidRPr="003D2934">
        <w:rPr>
          <w:rFonts w:ascii="Aptos" w:eastAsia="Aptos" w:hAnsi="Aptos" w:cs="Aptos"/>
          <w:color w:val="000000" w:themeColor="text1"/>
        </w:rPr>
        <w:t>Importantly, these outputs are not mutually exclusive and can be used together or at different points in the decision-making process. For example, a short-term forecasting model might be adapted for scenario modeling or might have a nowcasting model as one component.</w:t>
      </w:r>
      <w:r w:rsidR="4CF304AC" w:rsidRPr="003D2934">
        <w:rPr>
          <w:rFonts w:ascii="Aptos" w:eastAsia="Aptos" w:hAnsi="Aptos" w:cs="Aptos"/>
          <w:color w:val="000000" w:themeColor="text1"/>
        </w:rPr>
        <w:t xml:space="preserve"> In this series, we’ll cover each of these output types in more detail.</w:t>
      </w:r>
    </w:p>
    <w:p w14:paraId="2C078E63" w14:textId="2B589FCF" w:rsidR="00543227" w:rsidRDefault="00543227"/>
    <w:sectPr w:rsidR="005432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3FA82"/>
    <w:multiLevelType w:val="hybridMultilevel"/>
    <w:tmpl w:val="70D4E92C"/>
    <w:lvl w:ilvl="0" w:tplc="C75CAB46">
      <w:start w:val="1"/>
      <w:numFmt w:val="bullet"/>
      <w:lvlText w:val=""/>
      <w:lvlJc w:val="left"/>
      <w:pPr>
        <w:ind w:left="720" w:hanging="360"/>
      </w:pPr>
      <w:rPr>
        <w:rFonts w:ascii="Symbol" w:hAnsi="Symbol" w:hint="default"/>
      </w:rPr>
    </w:lvl>
    <w:lvl w:ilvl="1" w:tplc="3C08493A">
      <w:start w:val="1"/>
      <w:numFmt w:val="bullet"/>
      <w:lvlText w:val="o"/>
      <w:lvlJc w:val="left"/>
      <w:pPr>
        <w:ind w:left="1440" w:hanging="360"/>
      </w:pPr>
      <w:rPr>
        <w:rFonts w:ascii="Courier New" w:hAnsi="Courier New" w:hint="default"/>
      </w:rPr>
    </w:lvl>
    <w:lvl w:ilvl="2" w:tplc="A146807E">
      <w:start w:val="1"/>
      <w:numFmt w:val="bullet"/>
      <w:lvlText w:val=""/>
      <w:lvlJc w:val="left"/>
      <w:pPr>
        <w:ind w:left="2160" w:hanging="360"/>
      </w:pPr>
      <w:rPr>
        <w:rFonts w:ascii="Wingdings" w:hAnsi="Wingdings" w:hint="default"/>
      </w:rPr>
    </w:lvl>
    <w:lvl w:ilvl="3" w:tplc="FF58A070">
      <w:start w:val="1"/>
      <w:numFmt w:val="bullet"/>
      <w:lvlText w:val=""/>
      <w:lvlJc w:val="left"/>
      <w:pPr>
        <w:ind w:left="2880" w:hanging="360"/>
      </w:pPr>
      <w:rPr>
        <w:rFonts w:ascii="Symbol" w:hAnsi="Symbol" w:hint="default"/>
      </w:rPr>
    </w:lvl>
    <w:lvl w:ilvl="4" w:tplc="6B90E12A">
      <w:start w:val="1"/>
      <w:numFmt w:val="bullet"/>
      <w:lvlText w:val="o"/>
      <w:lvlJc w:val="left"/>
      <w:pPr>
        <w:ind w:left="3600" w:hanging="360"/>
      </w:pPr>
      <w:rPr>
        <w:rFonts w:ascii="Courier New" w:hAnsi="Courier New" w:hint="default"/>
      </w:rPr>
    </w:lvl>
    <w:lvl w:ilvl="5" w:tplc="B1A23896">
      <w:start w:val="1"/>
      <w:numFmt w:val="bullet"/>
      <w:lvlText w:val=""/>
      <w:lvlJc w:val="left"/>
      <w:pPr>
        <w:ind w:left="4320" w:hanging="360"/>
      </w:pPr>
      <w:rPr>
        <w:rFonts w:ascii="Wingdings" w:hAnsi="Wingdings" w:hint="default"/>
      </w:rPr>
    </w:lvl>
    <w:lvl w:ilvl="6" w:tplc="20A4B68E">
      <w:start w:val="1"/>
      <w:numFmt w:val="bullet"/>
      <w:lvlText w:val=""/>
      <w:lvlJc w:val="left"/>
      <w:pPr>
        <w:ind w:left="5040" w:hanging="360"/>
      </w:pPr>
      <w:rPr>
        <w:rFonts w:ascii="Symbol" w:hAnsi="Symbol" w:hint="default"/>
      </w:rPr>
    </w:lvl>
    <w:lvl w:ilvl="7" w:tplc="19E00152">
      <w:start w:val="1"/>
      <w:numFmt w:val="bullet"/>
      <w:lvlText w:val="o"/>
      <w:lvlJc w:val="left"/>
      <w:pPr>
        <w:ind w:left="5760" w:hanging="360"/>
      </w:pPr>
      <w:rPr>
        <w:rFonts w:ascii="Courier New" w:hAnsi="Courier New" w:hint="default"/>
      </w:rPr>
    </w:lvl>
    <w:lvl w:ilvl="8" w:tplc="0D6C694C">
      <w:start w:val="1"/>
      <w:numFmt w:val="bullet"/>
      <w:lvlText w:val=""/>
      <w:lvlJc w:val="left"/>
      <w:pPr>
        <w:ind w:left="6480" w:hanging="360"/>
      </w:pPr>
      <w:rPr>
        <w:rFonts w:ascii="Wingdings" w:hAnsi="Wingdings" w:hint="default"/>
      </w:rPr>
    </w:lvl>
  </w:abstractNum>
  <w:abstractNum w:abstractNumId="1" w15:restartNumberingAfterBreak="0">
    <w:nsid w:val="554DBBF1"/>
    <w:multiLevelType w:val="hybridMultilevel"/>
    <w:tmpl w:val="F2A43A02"/>
    <w:lvl w:ilvl="0" w:tplc="D578E5C2">
      <w:start w:val="1"/>
      <w:numFmt w:val="decimal"/>
      <w:lvlText w:val="%1."/>
      <w:lvlJc w:val="left"/>
      <w:pPr>
        <w:ind w:left="720" w:hanging="360"/>
      </w:pPr>
      <w:rPr>
        <w:rFonts w:ascii="Aptos" w:hAnsi="Aptos" w:hint="default"/>
      </w:rPr>
    </w:lvl>
    <w:lvl w:ilvl="1" w:tplc="0832AF3E">
      <w:start w:val="1"/>
      <w:numFmt w:val="lowerLetter"/>
      <w:lvlText w:val="%2."/>
      <w:lvlJc w:val="left"/>
      <w:pPr>
        <w:ind w:left="1440" w:hanging="360"/>
      </w:pPr>
    </w:lvl>
    <w:lvl w:ilvl="2" w:tplc="5808A49E">
      <w:start w:val="1"/>
      <w:numFmt w:val="lowerRoman"/>
      <w:lvlText w:val="%3."/>
      <w:lvlJc w:val="right"/>
      <w:pPr>
        <w:ind w:left="2160" w:hanging="180"/>
      </w:pPr>
    </w:lvl>
    <w:lvl w:ilvl="3" w:tplc="CFDEEFD6">
      <w:start w:val="1"/>
      <w:numFmt w:val="decimal"/>
      <w:lvlText w:val="%4."/>
      <w:lvlJc w:val="left"/>
      <w:pPr>
        <w:ind w:left="2880" w:hanging="360"/>
      </w:pPr>
    </w:lvl>
    <w:lvl w:ilvl="4" w:tplc="68F4AE4C">
      <w:start w:val="1"/>
      <w:numFmt w:val="lowerLetter"/>
      <w:lvlText w:val="%5."/>
      <w:lvlJc w:val="left"/>
      <w:pPr>
        <w:ind w:left="3600" w:hanging="360"/>
      </w:pPr>
    </w:lvl>
    <w:lvl w:ilvl="5" w:tplc="0B4E0A0A">
      <w:start w:val="1"/>
      <w:numFmt w:val="lowerRoman"/>
      <w:lvlText w:val="%6."/>
      <w:lvlJc w:val="right"/>
      <w:pPr>
        <w:ind w:left="4320" w:hanging="180"/>
      </w:pPr>
    </w:lvl>
    <w:lvl w:ilvl="6" w:tplc="A626741A">
      <w:start w:val="1"/>
      <w:numFmt w:val="decimal"/>
      <w:lvlText w:val="%7."/>
      <w:lvlJc w:val="left"/>
      <w:pPr>
        <w:ind w:left="5040" w:hanging="360"/>
      </w:pPr>
    </w:lvl>
    <w:lvl w:ilvl="7" w:tplc="A142D1D8">
      <w:start w:val="1"/>
      <w:numFmt w:val="lowerLetter"/>
      <w:lvlText w:val="%8."/>
      <w:lvlJc w:val="left"/>
      <w:pPr>
        <w:ind w:left="5760" w:hanging="360"/>
      </w:pPr>
    </w:lvl>
    <w:lvl w:ilvl="8" w:tplc="C6089AF8">
      <w:start w:val="1"/>
      <w:numFmt w:val="lowerRoman"/>
      <w:lvlText w:val="%9."/>
      <w:lvlJc w:val="right"/>
      <w:pPr>
        <w:ind w:left="6480" w:hanging="180"/>
      </w:pPr>
    </w:lvl>
  </w:abstractNum>
  <w:num w:numId="1" w16cid:durableId="1760055169">
    <w:abstractNumId w:val="0"/>
  </w:num>
  <w:num w:numId="2" w16cid:durableId="170336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EA1F1"/>
    <w:rsid w:val="00026884"/>
    <w:rsid w:val="000F3BDA"/>
    <w:rsid w:val="001474E0"/>
    <w:rsid w:val="00223FB7"/>
    <w:rsid w:val="00287A83"/>
    <w:rsid w:val="003D2934"/>
    <w:rsid w:val="00401432"/>
    <w:rsid w:val="004120E3"/>
    <w:rsid w:val="00454E05"/>
    <w:rsid w:val="00460E0B"/>
    <w:rsid w:val="00543227"/>
    <w:rsid w:val="00712B5F"/>
    <w:rsid w:val="00794731"/>
    <w:rsid w:val="007E6A9A"/>
    <w:rsid w:val="007F0164"/>
    <w:rsid w:val="00812D84"/>
    <w:rsid w:val="0085256B"/>
    <w:rsid w:val="008F0DBF"/>
    <w:rsid w:val="00900EA4"/>
    <w:rsid w:val="009506E0"/>
    <w:rsid w:val="00B348B1"/>
    <w:rsid w:val="00B35E1C"/>
    <w:rsid w:val="00BF6DCC"/>
    <w:rsid w:val="00C233C0"/>
    <w:rsid w:val="00C9103F"/>
    <w:rsid w:val="00CC4180"/>
    <w:rsid w:val="00CE7A14"/>
    <w:rsid w:val="00D12669"/>
    <w:rsid w:val="00D35681"/>
    <w:rsid w:val="00F00AEF"/>
    <w:rsid w:val="06AEA1F1"/>
    <w:rsid w:val="0F9C492D"/>
    <w:rsid w:val="1BB26B51"/>
    <w:rsid w:val="20BF51D4"/>
    <w:rsid w:val="2D980C40"/>
    <w:rsid w:val="2E7B6083"/>
    <w:rsid w:val="2E85EF2A"/>
    <w:rsid w:val="3AF2A475"/>
    <w:rsid w:val="3D3D96E5"/>
    <w:rsid w:val="40CBA406"/>
    <w:rsid w:val="439C9146"/>
    <w:rsid w:val="466DC46E"/>
    <w:rsid w:val="4A820BA7"/>
    <w:rsid w:val="4B32A7F9"/>
    <w:rsid w:val="4CF304AC"/>
    <w:rsid w:val="4DDF1862"/>
    <w:rsid w:val="53DD8509"/>
    <w:rsid w:val="6401F086"/>
    <w:rsid w:val="6553F0E9"/>
    <w:rsid w:val="69D4B47C"/>
    <w:rsid w:val="6B126463"/>
    <w:rsid w:val="77E04C8D"/>
    <w:rsid w:val="787C2D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EA1F1"/>
  <w15:chartTrackingRefBased/>
  <w15:docId w15:val="{7ED5C2A0-24F9-4FC3-BA27-2C90CC484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A820BA7"/>
    <w:pPr>
      <w:ind w:left="720"/>
      <w:contextualSpacing/>
    </w:pPr>
  </w:style>
  <w:style w:type="character" w:styleId="Hyperlink">
    <w:name w:val="Hyperlink"/>
    <w:basedOn w:val="DefaultParagraphFont"/>
    <w:uiPriority w:val="99"/>
    <w:unhideWhenUsed/>
    <w:rsid w:val="4B32A7F9"/>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astUpdated xmlns="1cb68687-f496-4db3-b5bd-c41440381a4a">
      <UserInfo>
        <DisplayName/>
        <AccountId xsi:nil="true"/>
        <AccountType/>
      </UserInfo>
    </LastUpdated>
    <TaxCatchAll xmlns="bd64ead2-f373-4c38-be2a-defab1dc671f" xsi:nil="true"/>
    <lcf76f155ced4ddcb4097134ff3c332f xmlns="1cb68687-f496-4db3-b5bd-c41440381a4a">
      <Terms xmlns="http://schemas.microsoft.com/office/infopath/2007/PartnerControls"/>
    </lcf76f155ced4ddcb4097134ff3c332f>
    <person xmlns="1cb68687-f496-4db3-b5bd-c41440381a4a">
      <UserInfo>
        <DisplayName/>
        <AccountId xsi:nil="true"/>
        <AccountType/>
      </UserInfo>
    </pers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DAA29431A8DA49804376CA5319AE7A" ma:contentTypeVersion="19" ma:contentTypeDescription="Create a new document." ma:contentTypeScope="" ma:versionID="5bb01d0f1fb9bd5b4ec27a9f0e37d9f9">
  <xsd:schema xmlns:xsd="http://www.w3.org/2001/XMLSchema" xmlns:xs="http://www.w3.org/2001/XMLSchema" xmlns:p="http://schemas.microsoft.com/office/2006/metadata/properties" xmlns:ns2="1cb68687-f496-4db3-b5bd-c41440381a4a" xmlns:ns3="bd64ead2-f373-4c38-be2a-defab1dc671f" targetNamespace="http://schemas.microsoft.com/office/2006/metadata/properties" ma:root="true" ma:fieldsID="b707fdd7629902fc37ccb1c38626cf2a" ns2:_="" ns3:_="">
    <xsd:import namespace="1cb68687-f496-4db3-b5bd-c41440381a4a"/>
    <xsd:import namespace="bd64ead2-f373-4c38-be2a-defab1dc67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LastUpdated" minOccurs="0"/>
                <xsd:element ref="ns2:MediaServiceObjectDetectorVersions" minOccurs="0"/>
                <xsd:element ref="ns2:MediaServiceSearchProperties" minOccurs="0"/>
                <xsd:element ref="ns2:MediaServiceBillingMetadata"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68687-f496-4db3-b5bd-c41440381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LastUpdated" ma:index="22" nillable="true" ma:displayName="Last Updated" ma:format="Dropdown" ma:list="UserInfo" ma:SharePointGroup="0" ma:internalName="LastUpdat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person" ma:index="26"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64ead2-f373-4c38-be2a-defab1dc67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060a78-bed5-4d0a-88a0-4d94b125b162}" ma:internalName="TaxCatchAll" ma:showField="CatchAllData" ma:web="bd64ead2-f373-4c38-be2a-defab1dc67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492D4-8A39-4328-A086-C12CACD545DA}">
  <ds:schemaRefs>
    <ds:schemaRef ds:uri="http://purl.org/dc/dcmitype/"/>
    <ds:schemaRef ds:uri="http://schemas.microsoft.com/office/2006/metadata/properties"/>
    <ds:schemaRef ds:uri="http://purl.org/dc/elements/1.1/"/>
    <ds:schemaRef ds:uri="http://purl.org/dc/terms/"/>
    <ds:schemaRef ds:uri="http://schemas.openxmlformats.org/package/2006/metadata/core-properties"/>
    <ds:schemaRef ds:uri="1cb68687-f496-4db3-b5bd-c41440381a4a"/>
    <ds:schemaRef ds:uri="http://schemas.microsoft.com/office/2006/documentManagement/types"/>
    <ds:schemaRef ds:uri="http://schemas.microsoft.com/office/infopath/2007/PartnerControls"/>
    <ds:schemaRef ds:uri="bd64ead2-f373-4c38-be2a-defab1dc671f"/>
    <ds:schemaRef ds:uri="http://www.w3.org/XML/1998/namespace"/>
  </ds:schemaRefs>
</ds:datastoreItem>
</file>

<file path=customXml/itemProps2.xml><?xml version="1.0" encoding="utf-8"?>
<ds:datastoreItem xmlns:ds="http://schemas.openxmlformats.org/officeDocument/2006/customXml" ds:itemID="{32956937-1047-417E-AAEC-B7432685A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68687-f496-4db3-b5bd-c41440381a4a"/>
    <ds:schemaRef ds:uri="bd64ead2-f373-4c38-be2a-defab1dc6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0560FA-3C76-4A2F-ADEF-7752DB64AC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624</Words>
  <Characters>3311</Characters>
  <Application>Microsoft Office Word</Application>
  <DocSecurity>0</DocSecurity>
  <Lines>54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Connolly, Sarah (CDC/OD/ORR/CFA)</dc:creator>
  <cp:keywords/>
  <dc:description/>
  <cp:lastModifiedBy>Koeller, Sarah (CDC/OD/ORR/CFA)</cp:lastModifiedBy>
  <cp:revision>31</cp:revision>
  <dcterms:created xsi:type="dcterms:W3CDTF">2026-03-09T18:13:00Z</dcterms:created>
  <dcterms:modified xsi:type="dcterms:W3CDTF">2026-05-21T13:01:00Z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0x010100CFDAA29431A8DA49804376CA5319AE7A</vt:lpwstr>
  </property>
  <property fmtid="{D5CDD505-2E9C-101B-9397-08002B2CF9AE}" pid="3" name="MSIP_Label_7b94a7b8-f06c-4dfe-bdcc-9b548fd58c31_Enabled">
    <vt:lpwstr>true</vt:lpwstr>
  </property>
  <property fmtid="{D5CDD505-2E9C-101B-9397-08002B2CF9AE}" pid="4" name="MSIP_Label_7b94a7b8-f06c-4dfe-bdcc-9b548fd58c31_SetDate">
    <vt:lpwstr>2026-03-09T18:13:56Z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4727d773-4fc8-4a73-9a67-eaabd296f6b4</vt:lpwstr>
  </property>
  <property fmtid="{D5CDD505-2E9C-101B-9397-08002B2CF9AE}" pid="9" name="MSIP_Label_7b94a7b8-f06c-4dfe-bdcc-9b548fd58c31_ContentBits">
    <vt:lpwstr>0</vt:lpwstr>
  </property>
  <property fmtid="{D5CDD505-2E9C-101B-9397-08002B2CF9AE}" pid="10" name="MSIP_Label_7b94a7b8-f06c-4dfe-bdcc-9b548fd58c31_Tag">
    <vt:lpwstr>10, 0, 1, 2</vt:lpwstr>
  </property>
  <property fmtid="{D5CDD505-2E9C-101B-9397-08002B2CF9AE}" pid="11" name="MediaServiceImageTags">
    <vt:lpwstr/>
  </property>
  <property fmtid="{D5CDD505-2E9C-101B-9397-08002B2CF9AE}" pid="12" name="docLang">
    <vt:lpwstr>en</vt:lpwstr>
  </property>
</Properties>
</file>