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6A81" w14:textId="3A5C627F" w:rsidR="003323B9" w:rsidRPr="001E0979" w:rsidRDefault="005C28F1" w:rsidP="00D35B6E">
      <w:pPr>
        <w:spacing w:before="240"/>
      </w:pPr>
      <w:r w:rsidRPr="001E0979">
        <w:t>The Antibiotic</w:t>
      </w:r>
      <w:r w:rsidR="00D35B6E">
        <w:t>-</w:t>
      </w:r>
      <w:r w:rsidRPr="001E0979">
        <w:t xml:space="preserve">Resistant Gonorrhea (ARGC) Tabletop Exercise (TTX) </w:t>
      </w:r>
      <w:r w:rsidR="006B64C6" w:rsidRPr="001E0979">
        <w:t>was developed</w:t>
      </w:r>
      <w:r w:rsidRPr="001E0979">
        <w:t xml:space="preserve"> by the Centers for Disease Control and Prevention (CDC), National Center for HIV/AIDS, Viral Hepatitis, STD</w:t>
      </w:r>
      <w:r w:rsidR="00B901FD">
        <w:t>,</w:t>
      </w:r>
      <w:r w:rsidRPr="001E0979">
        <w:t xml:space="preserve"> and TB Prevention (NCHHSTP).  </w:t>
      </w:r>
    </w:p>
    <w:p w14:paraId="5230A59D" w14:textId="10A6150D" w:rsidR="005C28F1" w:rsidRPr="003323B9" w:rsidRDefault="005C28F1" w:rsidP="001E0979">
      <w:r w:rsidRPr="003323B9">
        <w:t>The purpose</w:t>
      </w:r>
      <w:r w:rsidR="005A2806">
        <w:t>s</w:t>
      </w:r>
      <w:r w:rsidRPr="003323B9">
        <w:t xml:space="preserve"> of a TTX </w:t>
      </w:r>
      <w:r w:rsidR="005A2806">
        <w:t>are</w:t>
      </w:r>
      <w:r w:rsidRPr="003323B9">
        <w:t xml:space="preserve"> to test existing </w:t>
      </w:r>
      <w:r w:rsidR="003323B9" w:rsidRPr="003323B9">
        <w:t xml:space="preserve">response </w:t>
      </w:r>
      <w:r w:rsidRPr="003323B9">
        <w:t xml:space="preserve">plans, policies, and procedures or </w:t>
      </w:r>
      <w:r w:rsidR="005A2806">
        <w:t xml:space="preserve">to identify the need to </w:t>
      </w:r>
      <w:r w:rsidRPr="003323B9">
        <w:t xml:space="preserve">develop new plans, </w:t>
      </w:r>
      <w:r w:rsidR="00782CAA" w:rsidRPr="003323B9">
        <w:t>policies,</w:t>
      </w:r>
      <w:r w:rsidRPr="003323B9">
        <w:t xml:space="preserve"> and procedures without incurring the costs associated with deploying resources.  </w:t>
      </w:r>
    </w:p>
    <w:p w14:paraId="2F4E4E34" w14:textId="5E13AE03" w:rsidR="003323B9" w:rsidRPr="003323B9" w:rsidRDefault="00703F4C" w:rsidP="001E0979">
      <w:r>
        <w:t>CDC has developed</w:t>
      </w:r>
      <w:r w:rsidR="003323B9" w:rsidRPr="003323B9">
        <w:t xml:space="preserve"> the following materials to assist local and state health departments with planning and </w:t>
      </w:r>
      <w:r w:rsidR="005A2806">
        <w:t>conduct</w:t>
      </w:r>
      <w:r w:rsidR="005A2806" w:rsidRPr="003323B9">
        <w:t xml:space="preserve">ing </w:t>
      </w:r>
      <w:r w:rsidR="003323B9" w:rsidRPr="003323B9">
        <w:t>a</w:t>
      </w:r>
      <w:r w:rsidR="005A2806">
        <w:t>n</w:t>
      </w:r>
      <w:r w:rsidR="003323B9" w:rsidRPr="003323B9">
        <w:t xml:space="preserve"> ARGC TTX </w:t>
      </w:r>
      <w:r>
        <w:t>to improve preparedness and response efforts around ARGC</w:t>
      </w:r>
      <w:r w:rsidR="003323B9" w:rsidRPr="003323B9">
        <w:t xml:space="preserve">.  </w:t>
      </w:r>
    </w:p>
    <w:p w14:paraId="5C48734D" w14:textId="00909122" w:rsidR="001E0979" w:rsidRPr="00C444D1" w:rsidRDefault="003323B9" w:rsidP="00C444D1">
      <w:pPr>
        <w:pStyle w:val="BodyText"/>
        <w:numPr>
          <w:ilvl w:val="0"/>
          <w:numId w:val="1"/>
        </w:numPr>
        <w:rPr>
          <w:rFonts w:ascii="Microsoft PhagsPa" w:hAnsi="Microsoft PhagsPa"/>
          <w:b/>
          <w:bCs/>
          <w:sz w:val="22"/>
          <w:szCs w:val="22"/>
          <w:u w:val="single"/>
        </w:rPr>
      </w:pP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>Ceftriaxone-</w:t>
      </w:r>
      <w:r w:rsidR="00D35B6E">
        <w:rPr>
          <w:rFonts w:ascii="Microsoft PhagsPa" w:hAnsi="Microsoft PhagsPa"/>
          <w:b/>
          <w:bCs/>
          <w:sz w:val="22"/>
          <w:szCs w:val="22"/>
          <w:u w:val="single"/>
        </w:rPr>
        <w:t>R</w:t>
      </w: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>esistan</w:t>
      </w:r>
      <w:r w:rsidR="009627F9" w:rsidRPr="00C444D1">
        <w:rPr>
          <w:rFonts w:ascii="Microsoft PhagsPa" w:hAnsi="Microsoft PhagsPa"/>
          <w:b/>
          <w:bCs/>
          <w:sz w:val="22"/>
          <w:szCs w:val="22"/>
          <w:u w:val="single"/>
        </w:rPr>
        <w:t>t</w:t>
      </w: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 GC </w:t>
      </w:r>
      <w:r w:rsidR="00A366D1">
        <w:rPr>
          <w:rFonts w:ascii="Microsoft PhagsPa" w:hAnsi="Microsoft PhagsPa"/>
          <w:b/>
          <w:bCs/>
          <w:sz w:val="22"/>
          <w:szCs w:val="22"/>
          <w:u w:val="single"/>
        </w:rPr>
        <w:t>O</w:t>
      </w: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utbreak </w:t>
      </w:r>
      <w:r w:rsidR="00A366D1">
        <w:rPr>
          <w:rFonts w:ascii="Microsoft PhagsPa" w:hAnsi="Microsoft PhagsPa"/>
          <w:b/>
          <w:bCs/>
          <w:sz w:val="22"/>
          <w:szCs w:val="22"/>
          <w:u w:val="single"/>
        </w:rPr>
        <w:t>Re</w:t>
      </w: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sponse </w:t>
      </w:r>
      <w:r w:rsidR="00A366D1">
        <w:rPr>
          <w:rFonts w:ascii="Microsoft PhagsPa" w:hAnsi="Microsoft PhagsPa"/>
          <w:b/>
          <w:bCs/>
          <w:sz w:val="22"/>
          <w:szCs w:val="22"/>
          <w:u w:val="single"/>
        </w:rPr>
        <w:t>P</w:t>
      </w: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lan </w:t>
      </w:r>
      <w:r w:rsidR="00A366D1">
        <w:rPr>
          <w:rFonts w:ascii="Microsoft PhagsPa" w:hAnsi="Microsoft PhagsPa"/>
          <w:b/>
          <w:bCs/>
          <w:sz w:val="22"/>
          <w:szCs w:val="22"/>
          <w:u w:val="single"/>
        </w:rPr>
        <w:t>G</w:t>
      </w: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>uide</w:t>
      </w:r>
      <w:r w:rsidR="001F3473" w:rsidRPr="00C444D1">
        <w:rPr>
          <w:rFonts w:ascii="Microsoft PhagsPa" w:hAnsi="Microsoft PhagsPa"/>
          <w:sz w:val="22"/>
          <w:szCs w:val="22"/>
        </w:rPr>
        <w:t xml:space="preserve"> </w:t>
      </w:r>
      <w:r w:rsidR="005A2806" w:rsidRPr="00C444D1">
        <w:rPr>
          <w:rFonts w:ascii="Microsoft PhagsPa" w:hAnsi="Microsoft PhagsPa"/>
          <w:sz w:val="22"/>
          <w:szCs w:val="22"/>
        </w:rPr>
        <w:t xml:space="preserve">is </w:t>
      </w:r>
      <w:r w:rsidR="001F3473" w:rsidRPr="00C444D1">
        <w:rPr>
          <w:rFonts w:ascii="Microsoft PhagsPa" w:hAnsi="Microsoft PhagsPa"/>
          <w:sz w:val="22"/>
          <w:szCs w:val="22"/>
        </w:rPr>
        <w:t xml:space="preserve">to be used in conjunction with CDC’s </w:t>
      </w:r>
      <w:hyperlink r:id="rId10" w:history="1">
        <w:r w:rsidR="001F3473" w:rsidRPr="00C444D1">
          <w:rPr>
            <w:rStyle w:val="Hyperlink"/>
            <w:rFonts w:ascii="Microsoft PhagsPa" w:hAnsi="Microsoft PhagsPa" w:cstheme="minorHAnsi"/>
            <w:sz w:val="22"/>
            <w:szCs w:val="22"/>
          </w:rPr>
          <w:t>STD Outbreak Response Plan Guide</w:t>
        </w:r>
      </w:hyperlink>
      <w:r w:rsidR="001F3473" w:rsidRPr="00C444D1">
        <w:rPr>
          <w:rFonts w:ascii="Microsoft PhagsPa" w:hAnsi="Microsoft PhagsPa"/>
          <w:sz w:val="22"/>
          <w:szCs w:val="22"/>
        </w:rPr>
        <w:t xml:space="preserve"> to </w:t>
      </w:r>
      <w:r w:rsidR="005A2806" w:rsidRPr="00C444D1">
        <w:rPr>
          <w:rFonts w:ascii="Microsoft PhagsPa" w:hAnsi="Microsoft PhagsPa"/>
          <w:sz w:val="22"/>
          <w:szCs w:val="22"/>
        </w:rPr>
        <w:t>facilitate</w:t>
      </w:r>
      <w:r w:rsidR="001F3473" w:rsidRPr="00C444D1">
        <w:rPr>
          <w:rFonts w:ascii="Microsoft PhagsPa" w:hAnsi="Microsoft PhagsPa"/>
          <w:sz w:val="22"/>
          <w:szCs w:val="22"/>
        </w:rPr>
        <w:t xml:space="preserve"> develop</w:t>
      </w:r>
      <w:r w:rsidR="005A2806" w:rsidRPr="00C444D1">
        <w:rPr>
          <w:rFonts w:ascii="Microsoft PhagsPa" w:hAnsi="Microsoft PhagsPa"/>
          <w:sz w:val="22"/>
          <w:szCs w:val="22"/>
        </w:rPr>
        <w:t>ment of</w:t>
      </w:r>
      <w:r w:rsidR="001F3473" w:rsidRPr="00C444D1">
        <w:rPr>
          <w:rFonts w:ascii="Microsoft PhagsPa" w:hAnsi="Microsoft PhagsPa"/>
          <w:sz w:val="22"/>
          <w:szCs w:val="22"/>
        </w:rPr>
        <w:t xml:space="preserve"> a</w:t>
      </w:r>
      <w:r w:rsidR="005A2806" w:rsidRPr="00C444D1">
        <w:rPr>
          <w:rFonts w:ascii="Microsoft PhagsPa" w:hAnsi="Microsoft PhagsPa"/>
          <w:sz w:val="22"/>
          <w:szCs w:val="22"/>
        </w:rPr>
        <w:t>n ARGC-</w:t>
      </w:r>
      <w:r w:rsidR="001F3473" w:rsidRPr="00C444D1">
        <w:rPr>
          <w:rFonts w:ascii="Microsoft PhagsPa" w:hAnsi="Microsoft PhagsPa"/>
          <w:sz w:val="22"/>
          <w:szCs w:val="22"/>
        </w:rPr>
        <w:t xml:space="preserve">specific Outbreak Response Plan prior to conducting </w:t>
      </w:r>
      <w:r w:rsidR="005A2806" w:rsidRPr="00C444D1">
        <w:rPr>
          <w:rFonts w:ascii="Microsoft PhagsPa" w:hAnsi="Microsoft PhagsPa"/>
          <w:sz w:val="22"/>
          <w:szCs w:val="22"/>
        </w:rPr>
        <w:t>an ARGC</w:t>
      </w:r>
      <w:r w:rsidR="001F3473" w:rsidRPr="00C444D1">
        <w:rPr>
          <w:rFonts w:ascii="Microsoft PhagsPa" w:hAnsi="Microsoft PhagsPa"/>
          <w:sz w:val="22"/>
          <w:szCs w:val="22"/>
        </w:rPr>
        <w:t xml:space="preserve"> </w:t>
      </w:r>
      <w:r w:rsidR="005A2806" w:rsidRPr="00C444D1">
        <w:rPr>
          <w:rFonts w:ascii="Microsoft PhagsPa" w:hAnsi="Microsoft PhagsPa"/>
          <w:sz w:val="22"/>
          <w:szCs w:val="22"/>
        </w:rPr>
        <w:t>TTX</w:t>
      </w:r>
      <w:r w:rsidR="001F3473" w:rsidRPr="00C444D1">
        <w:rPr>
          <w:rFonts w:ascii="Microsoft PhagsPa" w:hAnsi="Microsoft PhagsPa"/>
          <w:sz w:val="22"/>
          <w:szCs w:val="22"/>
        </w:rPr>
        <w:t xml:space="preserve">. </w:t>
      </w:r>
      <w:r w:rsidR="005A2806" w:rsidRPr="00C444D1">
        <w:rPr>
          <w:rFonts w:ascii="Microsoft PhagsPa" w:hAnsi="Microsoft PhagsPa"/>
          <w:sz w:val="22"/>
          <w:szCs w:val="22"/>
        </w:rPr>
        <w:t xml:space="preserve">The TTX can </w:t>
      </w:r>
      <w:r w:rsidR="00A366D1">
        <w:rPr>
          <w:rFonts w:ascii="Microsoft PhagsPa" w:hAnsi="Microsoft PhagsPa"/>
          <w:sz w:val="22"/>
          <w:szCs w:val="22"/>
        </w:rPr>
        <w:t xml:space="preserve">be </w:t>
      </w:r>
      <w:r w:rsidR="005A2806" w:rsidRPr="00C444D1">
        <w:rPr>
          <w:rFonts w:ascii="Microsoft PhagsPa" w:hAnsi="Microsoft PhagsPa"/>
          <w:sz w:val="22"/>
          <w:szCs w:val="22"/>
        </w:rPr>
        <w:t>used to test an existing</w:t>
      </w:r>
      <w:r w:rsidR="001F3473" w:rsidRPr="00C444D1">
        <w:rPr>
          <w:rFonts w:ascii="Microsoft PhagsPa" w:hAnsi="Microsoft PhagsPa"/>
          <w:sz w:val="22"/>
          <w:szCs w:val="22"/>
        </w:rPr>
        <w:t xml:space="preserve"> STD Outbreak Response Plan</w:t>
      </w:r>
      <w:r w:rsidR="005A2806" w:rsidRPr="00C444D1">
        <w:rPr>
          <w:rFonts w:ascii="Microsoft PhagsPa" w:hAnsi="Microsoft PhagsPa"/>
          <w:sz w:val="22"/>
          <w:szCs w:val="22"/>
        </w:rPr>
        <w:t xml:space="preserve"> that is not specific for ARGC, but </w:t>
      </w:r>
      <w:r w:rsidR="001F3473" w:rsidRPr="00C444D1">
        <w:rPr>
          <w:rFonts w:ascii="Microsoft PhagsPa" w:hAnsi="Microsoft PhagsPa"/>
          <w:sz w:val="22"/>
          <w:szCs w:val="22"/>
        </w:rPr>
        <w:t xml:space="preserve">the level of detail in the ARGC TTX may prove challenging. </w:t>
      </w:r>
    </w:p>
    <w:p w14:paraId="3DFB0683" w14:textId="77777777" w:rsidR="001E0979" w:rsidRPr="00C444D1" w:rsidRDefault="007E6316" w:rsidP="00C444D1">
      <w:pPr>
        <w:pStyle w:val="BodyText"/>
        <w:numPr>
          <w:ilvl w:val="0"/>
          <w:numId w:val="1"/>
        </w:numPr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Antibiotic-Resistant </w:t>
      </w:r>
      <w:r w:rsidR="00703F4C" w:rsidRPr="00C444D1">
        <w:rPr>
          <w:rFonts w:ascii="Microsoft PhagsPa" w:hAnsi="Microsoft PhagsPa"/>
          <w:b/>
          <w:bCs/>
          <w:sz w:val="22"/>
          <w:szCs w:val="22"/>
          <w:u w:val="single"/>
        </w:rPr>
        <w:t>Gonorrhea Tabletop Exercise Toolkit</w:t>
      </w:r>
      <w:r w:rsidR="00C84B79"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 Overview Document</w:t>
      </w:r>
      <w:r w:rsidR="00703F4C" w:rsidRPr="00C444D1">
        <w:rPr>
          <w:rFonts w:ascii="Microsoft PhagsPa" w:hAnsi="Microsoft PhagsPa"/>
          <w:sz w:val="22"/>
          <w:szCs w:val="22"/>
        </w:rPr>
        <w:t xml:space="preserve"> </w:t>
      </w:r>
      <w:r w:rsidR="005D5A45" w:rsidRPr="00C444D1">
        <w:rPr>
          <w:rFonts w:ascii="Microsoft PhagsPa" w:hAnsi="Microsoft PhagsPa"/>
          <w:sz w:val="22"/>
          <w:szCs w:val="22"/>
        </w:rPr>
        <w:t xml:space="preserve">is for the TTX planning team and </w:t>
      </w:r>
      <w:r w:rsidR="00703F4C" w:rsidRPr="00C444D1">
        <w:rPr>
          <w:rFonts w:ascii="Microsoft PhagsPa" w:hAnsi="Microsoft PhagsPa"/>
          <w:sz w:val="22"/>
          <w:szCs w:val="22"/>
        </w:rPr>
        <w:t xml:space="preserve">describes in detail how to plan and conduct the ARGC </w:t>
      </w:r>
      <w:r w:rsidR="005A2806" w:rsidRPr="00C444D1">
        <w:rPr>
          <w:rFonts w:ascii="Microsoft PhagsPa" w:hAnsi="Microsoft PhagsPa"/>
          <w:sz w:val="22"/>
          <w:szCs w:val="22"/>
        </w:rPr>
        <w:t>TTX. The document</w:t>
      </w:r>
      <w:r w:rsidR="00703F4C" w:rsidRPr="00C444D1">
        <w:rPr>
          <w:rFonts w:ascii="Microsoft PhagsPa" w:hAnsi="Microsoft PhagsPa"/>
          <w:sz w:val="22"/>
          <w:szCs w:val="22"/>
        </w:rPr>
        <w:t xml:space="preserve"> </w:t>
      </w:r>
      <w:r w:rsidR="005A2806" w:rsidRPr="00C444D1">
        <w:rPr>
          <w:rFonts w:ascii="Microsoft PhagsPa" w:hAnsi="Microsoft PhagsPa"/>
          <w:sz w:val="22"/>
          <w:szCs w:val="22"/>
        </w:rPr>
        <w:t>describes</w:t>
      </w:r>
      <w:r w:rsidR="00703F4C" w:rsidRPr="00C444D1">
        <w:rPr>
          <w:rFonts w:ascii="Microsoft PhagsPa" w:hAnsi="Microsoft PhagsPa"/>
          <w:sz w:val="22"/>
          <w:szCs w:val="22"/>
        </w:rPr>
        <w:t xml:space="preserve"> pre-event activities, event activities, and post-event activities.  </w:t>
      </w:r>
    </w:p>
    <w:p w14:paraId="0C7BBF11" w14:textId="167F26A2" w:rsidR="001E0979" w:rsidRPr="00C444D1" w:rsidRDefault="001F3473" w:rsidP="00C444D1">
      <w:pPr>
        <w:pStyle w:val="BodyText"/>
        <w:numPr>
          <w:ilvl w:val="0"/>
          <w:numId w:val="1"/>
        </w:numPr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>ARGC Webinar</w:t>
      </w:r>
      <w:r w:rsidR="005A2806"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 </w:t>
      </w:r>
      <w:r w:rsidR="00A366D1" w:rsidRPr="00C444D1">
        <w:rPr>
          <w:rFonts w:ascii="Microsoft PhagsPa" w:hAnsi="Microsoft PhagsPa"/>
          <w:b/>
          <w:bCs/>
          <w:sz w:val="22"/>
          <w:szCs w:val="22"/>
          <w:u w:val="single"/>
        </w:rPr>
        <w:t>PowerPoint</w:t>
      </w:r>
      <w:r w:rsidR="005A2806" w:rsidRPr="00C444D1">
        <w:rPr>
          <w:rFonts w:ascii="Microsoft PhagsPa" w:hAnsi="Microsoft PhagsPa"/>
          <w:b/>
          <w:bCs/>
          <w:sz w:val="22"/>
          <w:szCs w:val="22"/>
          <w:u w:val="single"/>
        </w:rPr>
        <w:t xml:space="preserve"> Slides</w:t>
      </w:r>
      <w:r w:rsidRPr="00C444D1">
        <w:rPr>
          <w:rFonts w:ascii="Microsoft PhagsPa" w:hAnsi="Microsoft PhagsPa"/>
          <w:sz w:val="22"/>
          <w:szCs w:val="22"/>
        </w:rPr>
        <w:t xml:space="preserve"> can be </w:t>
      </w:r>
      <w:r w:rsidR="005A2806" w:rsidRPr="00C444D1">
        <w:rPr>
          <w:rFonts w:ascii="Microsoft PhagsPa" w:hAnsi="Microsoft PhagsPa"/>
          <w:sz w:val="22"/>
          <w:szCs w:val="22"/>
        </w:rPr>
        <w:t xml:space="preserve">provided </w:t>
      </w:r>
      <w:r w:rsidRPr="00C444D1">
        <w:rPr>
          <w:rFonts w:ascii="Microsoft PhagsPa" w:hAnsi="Microsoft PhagsPa"/>
          <w:sz w:val="22"/>
          <w:szCs w:val="22"/>
        </w:rPr>
        <w:t xml:space="preserve">to all TTX </w:t>
      </w:r>
      <w:r w:rsidR="00F81CE5" w:rsidRPr="00C444D1">
        <w:rPr>
          <w:rFonts w:ascii="Microsoft PhagsPa" w:hAnsi="Microsoft PhagsPa"/>
          <w:sz w:val="22"/>
          <w:szCs w:val="22"/>
        </w:rPr>
        <w:t>participants and facilitators</w:t>
      </w:r>
      <w:r w:rsidRPr="00C444D1">
        <w:rPr>
          <w:rFonts w:ascii="Microsoft PhagsPa" w:hAnsi="Microsoft PhagsPa"/>
          <w:sz w:val="22"/>
          <w:szCs w:val="22"/>
        </w:rPr>
        <w:t xml:space="preserve"> to ensure everyone has a basic background on ARCG.</w:t>
      </w:r>
      <w:r w:rsidR="005A2806" w:rsidRPr="00C444D1">
        <w:rPr>
          <w:rFonts w:ascii="Microsoft PhagsPa" w:hAnsi="Microsoft PhagsPa"/>
          <w:sz w:val="22"/>
          <w:szCs w:val="22"/>
        </w:rPr>
        <w:t xml:space="preserve"> The TTX planning team may opt to use these slides to provide a pre-TTX presentation for participants.</w:t>
      </w:r>
    </w:p>
    <w:p w14:paraId="5A9BE3B6" w14:textId="77777777" w:rsidR="00F53EA5" w:rsidRPr="00C444D1" w:rsidRDefault="00703F4C" w:rsidP="00C444D1">
      <w:pPr>
        <w:pStyle w:val="BodyText"/>
        <w:numPr>
          <w:ilvl w:val="0"/>
          <w:numId w:val="1"/>
        </w:numPr>
        <w:rPr>
          <w:rFonts w:ascii="Microsoft PhagsPa" w:hAnsi="Microsoft PhagsPa"/>
          <w:b/>
          <w:bCs/>
          <w:sz w:val="22"/>
          <w:szCs w:val="22"/>
          <w:u w:val="single"/>
        </w:rPr>
      </w:pPr>
      <w:r w:rsidRPr="00C444D1">
        <w:rPr>
          <w:rFonts w:ascii="Microsoft PhagsPa" w:hAnsi="Microsoft PhagsPa"/>
          <w:b/>
          <w:bCs/>
          <w:sz w:val="22"/>
          <w:szCs w:val="22"/>
          <w:u w:val="single"/>
        </w:rPr>
        <w:t>Tabletop Exercise documents</w:t>
      </w:r>
    </w:p>
    <w:p w14:paraId="6478C6AB" w14:textId="33C944F5" w:rsidR="00F53EA5" w:rsidRPr="00C444D1" w:rsidRDefault="00703F4C" w:rsidP="00D35B6E">
      <w:pPr>
        <w:pStyle w:val="BodyText"/>
        <w:numPr>
          <w:ilvl w:val="1"/>
          <w:numId w:val="1"/>
        </w:numPr>
        <w:spacing w:after="120"/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sz w:val="22"/>
          <w:szCs w:val="22"/>
        </w:rPr>
        <w:t>ARGC TTX Situation Manual</w:t>
      </w:r>
      <w:r w:rsidR="00F12C54" w:rsidRPr="00C444D1">
        <w:rPr>
          <w:rFonts w:ascii="Microsoft PhagsPa" w:hAnsi="Microsoft PhagsPa"/>
          <w:sz w:val="22"/>
          <w:szCs w:val="22"/>
        </w:rPr>
        <w:t xml:space="preserve"> (</w:t>
      </w:r>
      <w:r w:rsidR="005A2806" w:rsidRPr="00C444D1">
        <w:rPr>
          <w:rFonts w:ascii="Microsoft PhagsPa" w:hAnsi="Microsoft PhagsPa"/>
          <w:sz w:val="22"/>
          <w:szCs w:val="22"/>
        </w:rPr>
        <w:t>g</w:t>
      </w:r>
      <w:r w:rsidR="00F12C54" w:rsidRPr="00C444D1">
        <w:rPr>
          <w:rFonts w:ascii="Microsoft PhagsPa" w:hAnsi="Microsoft PhagsPa"/>
          <w:sz w:val="22"/>
          <w:szCs w:val="22"/>
        </w:rPr>
        <w:t>iven to all participants prior to exercise)</w:t>
      </w:r>
    </w:p>
    <w:p w14:paraId="5714ED55" w14:textId="77777777" w:rsidR="00F53EA5" w:rsidRPr="00C444D1" w:rsidRDefault="00703F4C" w:rsidP="00D35B6E">
      <w:pPr>
        <w:pStyle w:val="BodyText"/>
        <w:numPr>
          <w:ilvl w:val="1"/>
          <w:numId w:val="1"/>
        </w:numPr>
        <w:spacing w:after="120"/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sz w:val="22"/>
          <w:szCs w:val="22"/>
        </w:rPr>
        <w:t>ARGC TTX Facilitation Guide</w:t>
      </w:r>
      <w:r w:rsidR="00F12C54" w:rsidRPr="00C444D1">
        <w:rPr>
          <w:rFonts w:ascii="Microsoft PhagsPa" w:hAnsi="Microsoft PhagsPa"/>
          <w:sz w:val="22"/>
          <w:szCs w:val="22"/>
        </w:rPr>
        <w:t xml:space="preserve"> (</w:t>
      </w:r>
      <w:r w:rsidR="005A2806" w:rsidRPr="00C444D1">
        <w:rPr>
          <w:rFonts w:ascii="Microsoft PhagsPa" w:hAnsi="Microsoft PhagsPa"/>
          <w:sz w:val="22"/>
          <w:szCs w:val="22"/>
        </w:rPr>
        <w:t>g</w:t>
      </w:r>
      <w:r w:rsidR="00F12C54" w:rsidRPr="00C444D1">
        <w:rPr>
          <w:rFonts w:ascii="Microsoft PhagsPa" w:hAnsi="Microsoft PhagsPa"/>
          <w:sz w:val="22"/>
          <w:szCs w:val="22"/>
        </w:rPr>
        <w:t>iven to facilitators prior to exercise)</w:t>
      </w:r>
    </w:p>
    <w:p w14:paraId="5DEFF190" w14:textId="77777777" w:rsidR="00F53EA5" w:rsidRPr="00C444D1" w:rsidRDefault="00703F4C" w:rsidP="00D35B6E">
      <w:pPr>
        <w:pStyle w:val="BodyText"/>
        <w:numPr>
          <w:ilvl w:val="1"/>
          <w:numId w:val="1"/>
        </w:numPr>
        <w:spacing w:after="120"/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sz w:val="22"/>
          <w:szCs w:val="22"/>
        </w:rPr>
        <w:t>ARGC TTX Facilitator Slides</w:t>
      </w:r>
    </w:p>
    <w:p w14:paraId="58F975BE" w14:textId="77777777" w:rsidR="00F53EA5" w:rsidRPr="00C444D1" w:rsidRDefault="00BF7767" w:rsidP="00D35B6E">
      <w:pPr>
        <w:pStyle w:val="BodyText"/>
        <w:numPr>
          <w:ilvl w:val="1"/>
          <w:numId w:val="1"/>
        </w:numPr>
        <w:spacing w:after="120"/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sz w:val="22"/>
          <w:szCs w:val="22"/>
        </w:rPr>
        <w:t xml:space="preserve">ARGC TTX Participant Feedback Form </w:t>
      </w:r>
    </w:p>
    <w:p w14:paraId="2819782E" w14:textId="7C15520B" w:rsidR="00F12C54" w:rsidRPr="00C444D1" w:rsidRDefault="00F12C54" w:rsidP="00D35B6E">
      <w:pPr>
        <w:pStyle w:val="BodyText"/>
        <w:numPr>
          <w:ilvl w:val="1"/>
          <w:numId w:val="1"/>
        </w:numPr>
        <w:rPr>
          <w:rFonts w:ascii="Microsoft PhagsPa" w:hAnsi="Microsoft PhagsPa"/>
          <w:sz w:val="22"/>
          <w:szCs w:val="22"/>
        </w:rPr>
      </w:pPr>
      <w:r w:rsidRPr="00C444D1">
        <w:rPr>
          <w:rFonts w:ascii="Microsoft PhagsPa" w:hAnsi="Microsoft PhagsPa"/>
          <w:sz w:val="22"/>
          <w:szCs w:val="22"/>
        </w:rPr>
        <w:t>Template for ARGC TCC After Action Report/Improvement Plan</w:t>
      </w:r>
    </w:p>
    <w:p w14:paraId="18A33114" w14:textId="1682D244" w:rsidR="00EC00ED" w:rsidRPr="00F12C54" w:rsidRDefault="00EC00ED" w:rsidP="001E0979">
      <w:r w:rsidRPr="00C444D1">
        <w:t xml:space="preserve">Please reach out </w:t>
      </w:r>
      <w:r w:rsidR="002A0534" w:rsidRPr="00C444D1">
        <w:t xml:space="preserve">to your </w:t>
      </w:r>
      <w:r w:rsidRPr="00C444D1">
        <w:t xml:space="preserve">CDC’s Division of STD Prevention </w:t>
      </w:r>
      <w:r w:rsidR="00A366D1">
        <w:t xml:space="preserve">STD </w:t>
      </w:r>
      <w:r w:rsidR="002A0534" w:rsidRPr="00C444D1">
        <w:t xml:space="preserve">PCHD Project Officer or </w:t>
      </w:r>
      <w:hyperlink r:id="rId11" w:history="1">
        <w:r w:rsidR="002A0534" w:rsidRPr="00C444D1">
          <w:rPr>
            <w:rStyle w:val="Hyperlink"/>
          </w:rPr>
          <w:t>std_pchd@cdc.gov</w:t>
        </w:r>
      </w:hyperlink>
      <w:r w:rsidR="002A0534" w:rsidRPr="00C444D1">
        <w:t xml:space="preserve"> </w:t>
      </w:r>
      <w:r w:rsidRPr="00C444D1">
        <w:t xml:space="preserve">if you have any questions about preparing for or conducting the ARGC TTX. </w:t>
      </w:r>
    </w:p>
    <w:sectPr w:rsidR="00EC00ED" w:rsidRPr="00F12C54" w:rsidSect="007D47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853C" w14:textId="77777777" w:rsidR="00F60D46" w:rsidRDefault="00F60D46" w:rsidP="001E0979">
      <w:r>
        <w:separator/>
      </w:r>
    </w:p>
  </w:endnote>
  <w:endnote w:type="continuationSeparator" w:id="0">
    <w:p w14:paraId="66CCDDA5" w14:textId="77777777" w:rsidR="00F60D46" w:rsidRDefault="00F60D46" w:rsidP="001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E02E" w14:textId="77777777" w:rsidR="00DE0310" w:rsidRDefault="00DE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1FDA" w14:textId="51C27416" w:rsidR="007D47B0" w:rsidRDefault="00D90F26">
    <w:pPr>
      <w:pStyle w:val="Footer"/>
    </w:pPr>
    <w:r w:rsidRPr="00B653A7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2BEC57FF" wp14:editId="11A6AF05">
          <wp:simplePos x="0" y="0"/>
          <wp:positionH relativeFrom="page">
            <wp:posOffset>-209550</wp:posOffset>
          </wp:positionH>
          <wp:positionV relativeFrom="paragraph">
            <wp:posOffset>-58049</wp:posOffset>
          </wp:positionV>
          <wp:extent cx="7975158" cy="683260"/>
          <wp:effectExtent l="0" t="0" r="6985" b="254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l-bars-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975158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C7C4" w14:textId="77777777" w:rsidR="00DE0310" w:rsidRDefault="00DE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5826" w14:textId="77777777" w:rsidR="00F60D46" w:rsidRDefault="00F60D46" w:rsidP="001E0979">
      <w:r>
        <w:separator/>
      </w:r>
    </w:p>
  </w:footnote>
  <w:footnote w:type="continuationSeparator" w:id="0">
    <w:p w14:paraId="47E998C9" w14:textId="77777777" w:rsidR="00F60D46" w:rsidRDefault="00F60D46" w:rsidP="001E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D6C8" w14:textId="77777777" w:rsidR="00DE0310" w:rsidRDefault="00DE0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5759" w14:textId="540104E8" w:rsidR="00D35B6E" w:rsidRPr="00D35B6E" w:rsidRDefault="00D35B6E" w:rsidP="00D35B6E">
    <w:pPr>
      <w:pStyle w:val="Heading1"/>
      <w:spacing w:before="0" w:after="0"/>
      <w:jc w:val="left"/>
      <w:rPr>
        <w:rFonts w:eastAsia="Malgun Gothic"/>
        <w:b w:val="0"/>
        <w:bCs w:val="0"/>
      </w:rPr>
    </w:pPr>
    <w:bookmarkStart w:id="0" w:name="_Toc69913314"/>
    <w:bookmarkStart w:id="1" w:name="_Toc69913438"/>
    <w:bookmarkStart w:id="2" w:name="_Toc69913718"/>
    <w:bookmarkStart w:id="3" w:name="_Toc69913981"/>
    <w:bookmarkStart w:id="4" w:name="_Toc71298750"/>
    <w:bookmarkStart w:id="5" w:name="_Toc71298990"/>
    <w:r w:rsidRPr="00D35B6E">
      <w:rPr>
        <w:b w:val="0"/>
        <w:bCs w:val="0"/>
        <w:noProof/>
      </w:rPr>
      <w:drawing>
        <wp:anchor distT="0" distB="0" distL="114300" distR="114300" simplePos="0" relativeHeight="251663360" behindDoc="1" locked="0" layoutInCell="1" allowOverlap="1" wp14:anchorId="50DA1D6B" wp14:editId="68C2F4F4">
          <wp:simplePos x="0" y="0"/>
          <wp:positionH relativeFrom="page">
            <wp:posOffset>-32385</wp:posOffset>
          </wp:positionH>
          <wp:positionV relativeFrom="paragraph">
            <wp:posOffset>-715783</wp:posOffset>
          </wp:positionV>
          <wp:extent cx="7792278" cy="1811020"/>
          <wp:effectExtent l="0" t="0" r="0" b="0"/>
          <wp:wrapNone/>
          <wp:docPr id="54" name="Picture 5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al-bars-t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78" cy="181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B6E">
      <w:rPr>
        <w:rFonts w:eastAsia="Malgun Gothic"/>
        <w:b w:val="0"/>
        <w:bCs w:val="0"/>
      </w:rPr>
      <w:t>CDC’s Division of STD Prevention</w:t>
    </w:r>
    <w:bookmarkEnd w:id="0"/>
    <w:bookmarkEnd w:id="1"/>
    <w:bookmarkEnd w:id="2"/>
    <w:bookmarkEnd w:id="3"/>
    <w:bookmarkEnd w:id="4"/>
    <w:bookmarkEnd w:id="5"/>
  </w:p>
  <w:p w14:paraId="5230DC54" w14:textId="4127D2B8" w:rsidR="00D35B6E" w:rsidRDefault="00D35B6E" w:rsidP="00D35B6E">
    <w:pPr>
      <w:pStyle w:val="Heading1"/>
      <w:spacing w:before="0" w:after="0"/>
      <w:jc w:val="left"/>
      <w:rPr>
        <w:rFonts w:eastAsia="Malgun Gothic"/>
        <w:b w:val="0"/>
        <w:bCs w:val="0"/>
      </w:rPr>
    </w:pPr>
    <w:bookmarkStart w:id="6" w:name="_Toc69913315"/>
    <w:bookmarkStart w:id="7" w:name="_Toc69913439"/>
    <w:bookmarkStart w:id="8" w:name="_Toc69913719"/>
    <w:bookmarkStart w:id="9" w:name="_Toc69913982"/>
    <w:bookmarkStart w:id="10" w:name="_Toc71298751"/>
    <w:bookmarkStart w:id="11" w:name="_Toc71298991"/>
    <w:r w:rsidRPr="00D35B6E">
      <w:rPr>
        <w:rFonts w:eastAsia="Malgun Gothic"/>
        <w:b w:val="0"/>
        <w:bCs w:val="0"/>
      </w:rPr>
      <w:t>Antibiotic-Resistant Gonorrhea Tabletop Exercise</w:t>
    </w:r>
    <w:bookmarkEnd w:id="6"/>
    <w:bookmarkEnd w:id="7"/>
    <w:bookmarkEnd w:id="8"/>
    <w:bookmarkEnd w:id="9"/>
    <w:bookmarkEnd w:id="10"/>
    <w:bookmarkEnd w:id="11"/>
  </w:p>
  <w:p w14:paraId="46BA0D7B" w14:textId="77777777" w:rsidR="00D35B6E" w:rsidRPr="00D35B6E" w:rsidRDefault="00D35B6E" w:rsidP="00D35B6E">
    <w:pPr>
      <w:pStyle w:val="BodyText"/>
    </w:pPr>
  </w:p>
  <w:p w14:paraId="54D1A13A" w14:textId="548A2D84" w:rsidR="007D47B0" w:rsidRDefault="007D4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1300" w14:textId="77777777" w:rsidR="00DE0310" w:rsidRDefault="00DE0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D4E36"/>
    <w:multiLevelType w:val="hybridMultilevel"/>
    <w:tmpl w:val="004A6506"/>
    <w:lvl w:ilvl="0" w:tplc="A0CEAA8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F1"/>
    <w:rsid w:val="000D1DE4"/>
    <w:rsid w:val="001E0979"/>
    <w:rsid w:val="001F3473"/>
    <w:rsid w:val="00294EA1"/>
    <w:rsid w:val="002A0534"/>
    <w:rsid w:val="003272F4"/>
    <w:rsid w:val="003323B9"/>
    <w:rsid w:val="003B5483"/>
    <w:rsid w:val="003C509E"/>
    <w:rsid w:val="005A2806"/>
    <w:rsid w:val="005C28F1"/>
    <w:rsid w:val="005D5A45"/>
    <w:rsid w:val="006B64C6"/>
    <w:rsid w:val="00703F4C"/>
    <w:rsid w:val="00782CAA"/>
    <w:rsid w:val="007D47B0"/>
    <w:rsid w:val="007E6316"/>
    <w:rsid w:val="009627F9"/>
    <w:rsid w:val="00A366D1"/>
    <w:rsid w:val="00B901FD"/>
    <w:rsid w:val="00BF7767"/>
    <w:rsid w:val="00C35060"/>
    <w:rsid w:val="00C444D1"/>
    <w:rsid w:val="00C84B79"/>
    <w:rsid w:val="00D26908"/>
    <w:rsid w:val="00D35B6E"/>
    <w:rsid w:val="00D5196E"/>
    <w:rsid w:val="00D90F26"/>
    <w:rsid w:val="00DE0310"/>
    <w:rsid w:val="00EC00ED"/>
    <w:rsid w:val="00EF1D77"/>
    <w:rsid w:val="00F12C54"/>
    <w:rsid w:val="00F53EA5"/>
    <w:rsid w:val="00F60D46"/>
    <w:rsid w:val="00F81CE5"/>
    <w:rsid w:val="00FA35DC"/>
    <w:rsid w:val="00FB1EA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7AF157"/>
  <w15:chartTrackingRefBased/>
  <w15:docId w15:val="{87A0DB42-47B0-4B13-BD1A-6B7E670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79"/>
    <w:pPr>
      <w:spacing w:after="240" w:line="276" w:lineRule="auto"/>
    </w:pPr>
    <w:rPr>
      <w:rFonts w:ascii="Microsoft PhagsPa" w:eastAsiaTheme="minorEastAsia" w:hAnsi="Microsoft PhagsPa" w:cstheme="minorHAnsi"/>
    </w:rPr>
  </w:style>
  <w:style w:type="paragraph" w:styleId="Heading1">
    <w:name w:val="heading 1"/>
    <w:basedOn w:val="Normal"/>
    <w:next w:val="BodyText"/>
    <w:link w:val="Heading1Char"/>
    <w:qFormat/>
    <w:rsid w:val="00D35B6E"/>
    <w:pPr>
      <w:keepNext/>
      <w:spacing w:before="240" w:line="240" w:lineRule="auto"/>
      <w:jc w:val="center"/>
      <w:outlineLvl w:val="0"/>
    </w:pPr>
    <w:rPr>
      <w:rFonts w:cs="Arial"/>
      <w:b/>
      <w:bCs/>
      <w:color w:val="FFFFFF" w:themeColor="background1"/>
      <w:kern w:val="32"/>
      <w:sz w:val="44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B6E"/>
    <w:rPr>
      <w:rFonts w:ascii="Microsoft PhagsPa" w:eastAsiaTheme="minorEastAsia" w:hAnsi="Microsoft PhagsPa" w:cs="Arial"/>
      <w:b/>
      <w:bCs/>
      <w:color w:val="FFFFFF" w:themeColor="background1"/>
      <w:kern w:val="32"/>
      <w:sz w:val="44"/>
      <w:szCs w:val="38"/>
    </w:rPr>
  </w:style>
  <w:style w:type="paragraph" w:styleId="BodyText">
    <w:name w:val="Body Text"/>
    <w:basedOn w:val="Normal"/>
    <w:link w:val="BodyTextChar"/>
    <w:uiPriority w:val="99"/>
    <w:rsid w:val="005C28F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28F1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C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28F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F1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E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E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B0"/>
    <w:rPr>
      <w:rFonts w:ascii="Microsoft PhagsPa" w:eastAsiaTheme="minorEastAsia" w:hAnsi="Microsoft PhagsPa" w:cstheme="minorHAnsi"/>
    </w:rPr>
  </w:style>
  <w:style w:type="paragraph" w:styleId="Footer">
    <w:name w:val="footer"/>
    <w:basedOn w:val="Normal"/>
    <w:link w:val="FooterChar"/>
    <w:uiPriority w:val="99"/>
    <w:unhideWhenUsed/>
    <w:rsid w:val="007D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B0"/>
    <w:rPr>
      <w:rFonts w:ascii="Microsoft PhagsPa" w:eastAsiaTheme="minorEastAsia" w:hAnsi="Microsoft PhagsP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d_pchd@cdc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dc.gov/std/program/outbreakresources/outbreak-response-plan-guide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0" ma:contentTypeDescription="Create a new document." ma:contentTypeScope="" ma:versionID="85d4013d36b1b4bdc3afb543a2dfdedb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targetNamespace="http://schemas.microsoft.com/office/2006/metadata/properties" ma:root="true" ma:fieldsID="9ac157b972650ad9893270d54bbec2df" ns1:_="" ns3:_="">
    <xsd:import namespace="http://schemas.microsoft.com/sharepoint/v3"/>
    <xsd:import namespace="86765d95-7958-4d60-b35d-769de0760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2682D-9917-45D5-9E2A-3D58D059C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87B5C-D0FF-474A-AFC9-3D2172C6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65F61-90A9-43EB-B79F-BBC192FAA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Ridpath, Alison D. (CDC/DDID/NCHHSTP/DSTDP)</dc:creator>
  <cp:keywords/>
  <dc:description/>
  <cp:lastModifiedBy>Herald, Amber (CDC/DDID/NCHHSTP/DSTDP)</cp:lastModifiedBy>
  <cp:revision>13</cp:revision>
  <dcterms:created xsi:type="dcterms:W3CDTF">2021-04-26T17:33:00Z</dcterms:created>
  <dcterms:modified xsi:type="dcterms:W3CDTF">2021-05-20T18:40:00Z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2020-11-06T20:25:36Z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7cab20a1-b3f6-49a3-85e5-575a0c9c172c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0x010100B0280B11AB954C44BB2ADB61C885D152</vt:lpwstr>
  </property>
</Properties>
</file>